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02CC4" w14:textId="75B27E12" w:rsidR="007A4D9F" w:rsidRPr="002C3299" w:rsidRDefault="007A4D9F" w:rsidP="007A4D9F">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2C3299">
        <w:rPr>
          <w:rFonts w:cs="Arial"/>
          <w:sz w:val="24"/>
          <w:szCs w:val="24"/>
        </w:rPr>
        <w:t>3GPP TSG-RAN WG2 Meeting #11</w:t>
      </w:r>
      <w:r>
        <w:rPr>
          <w:rFonts w:cs="Arial"/>
          <w:sz w:val="24"/>
          <w:szCs w:val="24"/>
        </w:rPr>
        <w:t>4</w:t>
      </w:r>
      <w:r w:rsidRPr="002C3299">
        <w:rPr>
          <w:rFonts w:cs="Arial"/>
          <w:sz w:val="24"/>
          <w:szCs w:val="24"/>
        </w:rPr>
        <w:t xml:space="preserve"> electronic</w:t>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427CD6" w:rsidRPr="00427CD6">
        <w:rPr>
          <w:rFonts w:cs="Arial"/>
          <w:sz w:val="24"/>
          <w:szCs w:val="24"/>
          <w:lang w:eastAsia="sv-SE"/>
        </w:rPr>
        <w:t>R2-2105693</w:t>
      </w:r>
    </w:p>
    <w:p w14:paraId="49D22FDF" w14:textId="6F231180" w:rsidR="007A4D9F" w:rsidRDefault="007A4D9F" w:rsidP="007A4D9F">
      <w:pPr>
        <w:widowControl w:val="0"/>
        <w:tabs>
          <w:tab w:val="left" w:pos="1701"/>
          <w:tab w:val="right" w:pos="9923"/>
        </w:tabs>
        <w:spacing w:before="120"/>
        <w:rPr>
          <w:rFonts w:ascii="Arial" w:eastAsia="SimSun" w:hAnsi="Arial" w:cs="Arial"/>
          <w:b/>
          <w:sz w:val="24"/>
          <w:szCs w:val="24"/>
          <w:lang w:val="de-DE" w:eastAsia="zh-CN"/>
        </w:rPr>
      </w:pPr>
      <w:r w:rsidRPr="00427CD6">
        <w:rPr>
          <w:rFonts w:ascii="Arial" w:eastAsia="SimSun" w:hAnsi="Arial" w:cs="Arial"/>
          <w:b/>
          <w:sz w:val="24"/>
          <w:szCs w:val="24"/>
          <w:lang w:val="de-DE" w:eastAsia="zh-CN"/>
        </w:rPr>
        <w:t xml:space="preserve">Online, </w:t>
      </w:r>
      <w:r w:rsidRPr="002418E9">
        <w:rPr>
          <w:rFonts w:ascii="Arial" w:eastAsia="SimSun" w:hAnsi="Arial" w:cs="Arial"/>
          <w:b/>
          <w:sz w:val="24"/>
          <w:szCs w:val="24"/>
          <w:lang w:val="de-DE" w:eastAsia="zh-CN"/>
        </w:rPr>
        <w:t>May 1</w:t>
      </w:r>
      <w:r w:rsidR="00675E5B" w:rsidRPr="002418E9">
        <w:rPr>
          <w:rFonts w:ascii="Arial" w:eastAsia="SimSun" w:hAnsi="Arial" w:cs="Arial"/>
          <w:b/>
          <w:sz w:val="24"/>
          <w:szCs w:val="24"/>
          <w:lang w:val="de-DE" w:eastAsia="zh-CN"/>
        </w:rPr>
        <w:t>9</w:t>
      </w:r>
      <w:r w:rsidRPr="002418E9">
        <w:rPr>
          <w:rFonts w:ascii="Arial" w:eastAsia="SimSun" w:hAnsi="Arial" w:cs="Arial"/>
          <w:b/>
          <w:sz w:val="24"/>
          <w:szCs w:val="24"/>
          <w:lang w:val="de-DE" w:eastAsia="zh-CN"/>
        </w:rPr>
        <w:t xml:space="preserve"> – May 2</w:t>
      </w:r>
      <w:r w:rsidR="00675E5B" w:rsidRPr="002418E9">
        <w:rPr>
          <w:rFonts w:ascii="Arial" w:eastAsia="SimSun" w:hAnsi="Arial" w:cs="Arial"/>
          <w:b/>
          <w:sz w:val="24"/>
          <w:szCs w:val="24"/>
          <w:lang w:val="de-DE" w:eastAsia="zh-CN"/>
        </w:rPr>
        <w:t>7</w:t>
      </w:r>
      <w:r w:rsidRPr="002418E9">
        <w:rPr>
          <w:rFonts w:ascii="Arial" w:eastAsia="SimSun" w:hAnsi="Arial" w:cs="Arial"/>
          <w:b/>
          <w:sz w:val="24"/>
          <w:szCs w:val="24"/>
          <w:lang w:val="de-DE" w:eastAsia="zh-CN"/>
        </w:rPr>
        <w:t>, 2021</w:t>
      </w:r>
    </w:p>
    <w:p w14:paraId="672A6659"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77777777"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9C654A">
        <w:rPr>
          <w:rFonts w:ascii="Arial Bold" w:eastAsia="MS Mincho" w:hAnsi="Arial Bold" w:cs="Arial"/>
          <w:b/>
          <w:sz w:val="24"/>
          <w:szCs w:val="24"/>
          <w:lang w:val="en-US" w:eastAsia="en-US"/>
        </w:rPr>
        <w:t>6</w:t>
      </w:r>
      <w:r w:rsidR="00B66EA5" w:rsidRPr="0084175C">
        <w:rPr>
          <w:rFonts w:ascii="Arial Bold" w:eastAsia="MS Mincho" w:hAnsi="Arial Bold" w:cs="Arial"/>
          <w:b/>
          <w:sz w:val="24"/>
          <w:szCs w:val="24"/>
          <w:lang w:val="en-US" w:eastAsia="en-US"/>
        </w:rPr>
        <w:t>.</w:t>
      </w:r>
      <w:r w:rsidR="00F431D1">
        <w:rPr>
          <w:rFonts w:ascii="Arial Bold" w:eastAsia="MS Mincho" w:hAnsi="Arial Bold" w:cs="Arial"/>
          <w:b/>
          <w:sz w:val="24"/>
          <w:szCs w:val="24"/>
          <w:lang w:val="en-US" w:eastAsia="en-US"/>
        </w:rPr>
        <w:t>4</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1BD7D20E"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BA702A">
        <w:rPr>
          <w:rFonts w:ascii="Arial" w:eastAsia="MS Mincho" w:hAnsi="Arial" w:cs="Arial"/>
          <w:b/>
          <w:sz w:val="23"/>
          <w:szCs w:val="23"/>
          <w:lang w:val="en-US" w:eastAsia="en-US"/>
        </w:rPr>
        <w:t>RA</w:t>
      </w:r>
      <w:r w:rsidR="008B57B6">
        <w:rPr>
          <w:rFonts w:ascii="Arial" w:eastAsia="MS Mincho" w:hAnsi="Arial" w:cs="Arial"/>
          <w:b/>
          <w:sz w:val="23"/>
          <w:szCs w:val="23"/>
          <w:lang w:val="en-US" w:eastAsia="en-US"/>
        </w:rPr>
        <w:t>CH</w:t>
      </w:r>
      <w:r w:rsidR="00BA702A">
        <w:rPr>
          <w:rFonts w:ascii="Arial" w:eastAsia="MS Mincho" w:hAnsi="Arial" w:cs="Arial"/>
          <w:b/>
          <w:sz w:val="23"/>
          <w:szCs w:val="23"/>
          <w:lang w:val="en-US" w:eastAsia="en-US"/>
        </w:rPr>
        <w:t xml:space="preserve">-based SDT </w:t>
      </w:r>
      <w:r w:rsidR="000851C2" w:rsidRPr="009E78CE">
        <w:rPr>
          <w:rFonts w:ascii="Arial" w:eastAsia="MS Mincho" w:hAnsi="Arial" w:cs="Arial"/>
          <w:b/>
          <w:sz w:val="23"/>
          <w:szCs w:val="23"/>
          <w:lang w:val="en-US" w:eastAsia="en-US"/>
        </w:rPr>
        <w:t>in NR</w:t>
      </w:r>
      <w:r w:rsidR="00156936" w:rsidRPr="009E78CE">
        <w:rPr>
          <w:rFonts w:ascii="Arial" w:eastAsia="MS Mincho" w:hAnsi="Arial" w:cs="Arial"/>
          <w:b/>
          <w:sz w:val="23"/>
          <w:szCs w:val="23"/>
          <w:lang w:val="en-US" w:eastAsia="en-US"/>
        </w:rPr>
        <w:t xml:space="preserve"> </w:t>
      </w:r>
      <w:r w:rsidR="00BA0E91" w:rsidRPr="009E78CE">
        <w:rPr>
          <w:rFonts w:ascii="Arial" w:hAnsi="Arial" w:cs="Arial"/>
          <w:b/>
          <w:sz w:val="23"/>
          <w:szCs w:val="23"/>
          <w:lang w:eastAsia="ko-KR"/>
        </w:rPr>
        <w:t xml:space="preserve"> </w:t>
      </w:r>
      <w:r w:rsidR="00F340EB" w:rsidRPr="009E78CE">
        <w:rPr>
          <w:rFonts w:ascii="Arial" w:hAnsi="Arial" w:cs="Arial"/>
          <w:b/>
          <w:bCs/>
          <w:sz w:val="23"/>
          <w:szCs w:val="23"/>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4DA32C16" w:rsidR="00DD4E7D" w:rsidRPr="00D3026E" w:rsidRDefault="00DD4E7D" w:rsidP="00531E24">
      <w:pPr>
        <w:pStyle w:val="Heading1"/>
        <w:numPr>
          <w:ilvl w:val="0"/>
          <w:numId w:val="33"/>
        </w:numPr>
        <w:rPr>
          <w:rFonts w:ascii="Times New Roman" w:hAnsi="Times New Roman"/>
          <w:b/>
          <w:sz w:val="28"/>
          <w:szCs w:val="28"/>
        </w:rPr>
      </w:pPr>
      <w:bookmarkStart w:id="12" w:name="OLE_LINK1"/>
      <w:bookmarkStart w:id="13"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bookmarkEnd w:id="10"/>
    <w:bookmarkEnd w:id="12"/>
    <w:bookmarkEnd w:id="13"/>
    <w:p w14:paraId="097A659A" w14:textId="2C391E8D" w:rsidR="004C06EB" w:rsidRDefault="750367E5" w:rsidP="000906FF">
      <w:pPr>
        <w:jc w:val="both"/>
        <w:rPr>
          <w:color w:val="000000" w:themeColor="text1"/>
          <w:sz w:val="22"/>
          <w:szCs w:val="22"/>
          <w:lang w:eastAsia="zh-CN"/>
        </w:rPr>
      </w:pPr>
      <w:r w:rsidRPr="368DDCFE">
        <w:rPr>
          <w:color w:val="000000" w:themeColor="text1"/>
          <w:sz w:val="22"/>
          <w:szCs w:val="22"/>
          <w:lang w:eastAsia="zh-CN"/>
        </w:rPr>
        <w:t xml:space="preserve">RAN2 </w:t>
      </w:r>
      <w:r w:rsidR="147DC199" w:rsidRPr="368DDCFE">
        <w:rPr>
          <w:color w:val="000000" w:themeColor="text1"/>
          <w:sz w:val="22"/>
          <w:szCs w:val="22"/>
          <w:lang w:eastAsia="zh-CN"/>
        </w:rPr>
        <w:t xml:space="preserve">made a good progress in the last </w:t>
      </w:r>
      <w:r w:rsidR="002B0FEC">
        <w:rPr>
          <w:color w:val="000000" w:themeColor="text1"/>
          <w:sz w:val="22"/>
          <w:szCs w:val="22"/>
          <w:lang w:eastAsia="zh-CN"/>
        </w:rPr>
        <w:t>few</w:t>
      </w:r>
      <w:r w:rsidR="147DC199" w:rsidRPr="368DDCFE">
        <w:rPr>
          <w:color w:val="000000" w:themeColor="text1"/>
          <w:sz w:val="22"/>
          <w:szCs w:val="22"/>
          <w:lang w:eastAsia="zh-CN"/>
        </w:rPr>
        <w:t xml:space="preserve"> meetings</w:t>
      </w:r>
      <w:r w:rsidR="00D65EC3">
        <w:rPr>
          <w:color w:val="000000" w:themeColor="text1"/>
          <w:sz w:val="22"/>
          <w:szCs w:val="22"/>
          <w:lang w:eastAsia="zh-CN"/>
        </w:rPr>
        <w:t xml:space="preserve"> </w:t>
      </w:r>
      <w:r w:rsidR="00D65EC3" w:rsidRPr="00CE41BF">
        <w:rPr>
          <w:color w:val="000000" w:themeColor="text1"/>
          <w:sz w:val="22"/>
          <w:szCs w:val="22"/>
          <w:lang w:eastAsia="zh-CN"/>
        </w:rPr>
        <w:t>(</w:t>
      </w:r>
      <w:r w:rsidR="00D65EC3" w:rsidRPr="002418E9">
        <w:rPr>
          <w:sz w:val="22"/>
          <w:szCs w:val="22"/>
        </w:rPr>
        <w:t>RAN2#112, RAN2#113 and RAN2#113bis)</w:t>
      </w:r>
      <w:r w:rsidR="147DC199" w:rsidRPr="00CE41BF">
        <w:rPr>
          <w:color w:val="000000" w:themeColor="text1"/>
          <w:sz w:val="22"/>
          <w:szCs w:val="22"/>
          <w:lang w:eastAsia="zh-CN"/>
        </w:rPr>
        <w:t xml:space="preserve"> </w:t>
      </w:r>
      <w:r w:rsidR="25E9A561" w:rsidRPr="368DDCFE">
        <w:rPr>
          <w:color w:val="000000" w:themeColor="text1"/>
          <w:sz w:val="22"/>
          <w:szCs w:val="22"/>
          <w:lang w:eastAsia="zh-CN"/>
        </w:rPr>
        <w:t xml:space="preserve">for SDT </w:t>
      </w:r>
      <w:r w:rsidR="147DC199" w:rsidRPr="368DDCFE">
        <w:rPr>
          <w:color w:val="000000" w:themeColor="text1"/>
          <w:sz w:val="22"/>
          <w:szCs w:val="22"/>
          <w:lang w:eastAsia="zh-CN"/>
        </w:rPr>
        <w:t xml:space="preserve">where a significant number of agreements were </w:t>
      </w:r>
      <w:r w:rsidR="006F07FE">
        <w:rPr>
          <w:color w:val="000000" w:themeColor="text1"/>
          <w:sz w:val="22"/>
          <w:szCs w:val="22"/>
          <w:lang w:eastAsia="zh-CN"/>
        </w:rPr>
        <w:t>reached</w:t>
      </w:r>
      <w:r w:rsidR="147DC199" w:rsidRPr="368DDCFE">
        <w:rPr>
          <w:color w:val="000000" w:themeColor="text1"/>
          <w:sz w:val="22"/>
          <w:szCs w:val="22"/>
          <w:lang w:eastAsia="zh-CN"/>
        </w:rPr>
        <w:t>.</w:t>
      </w:r>
      <w:r w:rsidR="00C052C6">
        <w:rPr>
          <w:color w:val="000000" w:themeColor="text1"/>
          <w:sz w:val="22"/>
          <w:szCs w:val="22"/>
          <w:lang w:eastAsia="zh-CN"/>
        </w:rPr>
        <w:t xml:space="preserve"> Some relevant agreements in this contribution are captured below:</w:t>
      </w:r>
    </w:p>
    <w:p w14:paraId="3CFF8A71" w14:textId="6667F58F" w:rsidR="00C052C6" w:rsidRPr="00C052C6" w:rsidRDefault="00C052C6" w:rsidP="00C052C6">
      <w:pPr>
        <w:pBdr>
          <w:top w:val="single" w:sz="4" w:space="1" w:color="auto"/>
          <w:left w:val="single" w:sz="4" w:space="4" w:color="auto"/>
          <w:bottom w:val="single" w:sz="4" w:space="1" w:color="auto"/>
          <w:right w:val="single" w:sz="4" w:space="4" w:color="auto"/>
        </w:pBdr>
        <w:jc w:val="both"/>
        <w:rPr>
          <w:color w:val="000000" w:themeColor="text1"/>
          <w:sz w:val="22"/>
          <w:szCs w:val="22"/>
          <w:lang w:eastAsia="zh-CN"/>
        </w:rPr>
      </w:pPr>
      <w:r w:rsidRPr="00C052C6">
        <w:rPr>
          <w:b/>
          <w:bCs/>
          <w:color w:val="000000" w:themeColor="text1"/>
          <w:sz w:val="22"/>
          <w:szCs w:val="22"/>
          <w:lang w:val="en-US" w:eastAsia="zh-CN"/>
        </w:rPr>
        <w:t>RAN2#112e agreement:</w:t>
      </w:r>
    </w:p>
    <w:p w14:paraId="107010FB" w14:textId="77777777" w:rsidR="00C052C6" w:rsidRP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A4544A">
        <w:rPr>
          <w:rFonts w:eastAsia="Meiryo"/>
          <w:kern w:val="24"/>
          <w:sz w:val="20"/>
          <w:szCs w:val="20"/>
          <w:highlight w:val="yellow"/>
        </w:rPr>
        <w:t>8. For RACH based solutions, upon successful completion of contention resolution, the UE shall monitor the C-RNTI.</w:t>
      </w:r>
      <w:r w:rsidRPr="00C052C6">
        <w:rPr>
          <w:rFonts w:eastAsia="Meiryo"/>
          <w:kern w:val="24"/>
          <w:sz w:val="20"/>
          <w:szCs w:val="20"/>
        </w:rPr>
        <w:t xml:space="preserve"> </w:t>
      </w:r>
    </w:p>
    <w:p w14:paraId="36481951" w14:textId="77777777" w:rsidR="00C052C6" w:rsidRP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C052C6">
        <w:rPr>
          <w:rFonts w:eastAsia="Meiryo"/>
          <w:i/>
          <w:iCs/>
          <w:kern w:val="24"/>
          <w:sz w:val="20"/>
          <w:szCs w:val="20"/>
        </w:rPr>
        <w:t>9. Determine if RAN1 LS is needed later – current list of possible questions</w:t>
      </w:r>
      <w:r w:rsidRPr="00C052C6">
        <w:rPr>
          <w:rFonts w:eastAsia="Meiryo"/>
          <w:kern w:val="24"/>
          <w:sz w:val="20"/>
          <w:szCs w:val="20"/>
        </w:rPr>
        <w:t xml:space="preserve"> input on the coreset/search space for the C-RNTI (i.e. is it common or dedicated)</w:t>
      </w:r>
    </w:p>
    <w:p w14:paraId="070011BE" w14:textId="77777777" w:rsidR="00C052C6" w:rsidRPr="00A4544A"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C052C6">
        <w:rPr>
          <w:rFonts w:eastAsia="Meiryo"/>
          <w:kern w:val="24"/>
          <w:sz w:val="20"/>
          <w:szCs w:val="20"/>
        </w:rPr>
        <w:t>10. As a baseline, the RACH resource i.e. (</w:t>
      </w:r>
      <w:proofErr w:type="spellStart"/>
      <w:r w:rsidRPr="00C052C6">
        <w:rPr>
          <w:rFonts w:eastAsia="Meiryo"/>
          <w:kern w:val="24"/>
          <w:sz w:val="20"/>
          <w:szCs w:val="20"/>
        </w:rPr>
        <w:t>RO+preamble</w:t>
      </w:r>
      <w:proofErr w:type="spellEnd"/>
      <w:r w:rsidRPr="00C052C6">
        <w:rPr>
          <w:rFonts w:eastAsia="Meiryo"/>
          <w:kern w:val="24"/>
          <w:sz w:val="20"/>
          <w:szCs w:val="20"/>
        </w:rPr>
        <w:t xml:space="preserve"> </w:t>
      </w:r>
      <w:r w:rsidRPr="00A4544A">
        <w:rPr>
          <w:rFonts w:eastAsia="Meiryo"/>
          <w:kern w:val="24"/>
          <w:sz w:val="20"/>
          <w:szCs w:val="20"/>
        </w:rPr>
        <w:t xml:space="preserve">combination) is different between SDT and non-SDT </w:t>
      </w:r>
    </w:p>
    <w:p w14:paraId="28B56D48" w14:textId="4D8712D0" w:rsidR="00C052C6" w:rsidRPr="00A4544A"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A4544A">
        <w:rPr>
          <w:rFonts w:eastAsia="Meiryo"/>
          <w:kern w:val="24"/>
          <w:sz w:val="20"/>
          <w:szCs w:val="20"/>
        </w:rPr>
        <w:t xml:space="preserve">    - If ROs for SDT and non SDT are different, preamble partitioning between SDT and non SDT is not needed.</w:t>
      </w:r>
    </w:p>
    <w:p w14:paraId="532E3307" w14:textId="19CB0311" w:rsidR="00C052C6" w:rsidRP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A4544A">
        <w:rPr>
          <w:rFonts w:eastAsia="Meiryo"/>
          <w:kern w:val="24"/>
          <w:sz w:val="20"/>
          <w:szCs w:val="20"/>
        </w:rPr>
        <w:t xml:space="preserve">    - If ROs for SDT and non SDT are same, preamble partitioning is needed</w:t>
      </w:r>
    </w:p>
    <w:p w14:paraId="2E688583" w14:textId="77777777" w:rsidR="00C052C6" w:rsidRP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C052C6">
        <w:rPr>
          <w:rFonts w:eastAsia="Meiryo"/>
          <w:kern w:val="24"/>
          <w:sz w:val="20"/>
          <w:szCs w:val="20"/>
        </w:rPr>
        <w:t>FFS if common configuration should be allowed</w:t>
      </w:r>
    </w:p>
    <w:p w14:paraId="60C5CE1F" w14:textId="77777777" w:rsid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eastAsia="Meiryo"/>
          <w:kern w:val="24"/>
          <w:sz w:val="20"/>
          <w:szCs w:val="20"/>
        </w:rPr>
      </w:pPr>
      <w:r w:rsidRPr="00A4544A">
        <w:rPr>
          <w:rFonts w:eastAsia="Meiryo"/>
          <w:kern w:val="24"/>
          <w:sz w:val="20"/>
          <w:szCs w:val="20"/>
          <w:highlight w:val="yellow"/>
        </w:rPr>
        <w:t>11. If the RACH resource i.e. (</w:t>
      </w:r>
      <w:proofErr w:type="spellStart"/>
      <w:r w:rsidRPr="00A4544A">
        <w:rPr>
          <w:rFonts w:eastAsia="Meiryo"/>
          <w:kern w:val="24"/>
          <w:sz w:val="20"/>
          <w:szCs w:val="20"/>
          <w:highlight w:val="yellow"/>
        </w:rPr>
        <w:t>RO+preamble</w:t>
      </w:r>
      <w:proofErr w:type="spellEnd"/>
      <w:r w:rsidRPr="00A4544A">
        <w:rPr>
          <w:rFonts w:eastAsia="Meiryo"/>
          <w:kern w:val="24"/>
          <w:sz w:val="20"/>
          <w:szCs w:val="20"/>
          <w:highlight w:val="yellow"/>
        </w:rPr>
        <w:t xml:space="preserve"> combination) is different between SDT and non-SDT then there is no further need for any differentiation between MSG2/MSGB for SDT vs non-SDT.</w:t>
      </w:r>
    </w:p>
    <w:p w14:paraId="44D4DCA1" w14:textId="77777777" w:rsid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eastAsia="Meiryo"/>
          <w:kern w:val="24"/>
          <w:sz w:val="20"/>
          <w:szCs w:val="20"/>
        </w:rPr>
      </w:pPr>
    </w:p>
    <w:p w14:paraId="63B4969F" w14:textId="6F418656" w:rsidR="00C052C6" w:rsidRP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eastAsia="Meiryo"/>
          <w:b/>
          <w:bCs/>
          <w:kern w:val="24"/>
          <w:sz w:val="20"/>
          <w:szCs w:val="20"/>
        </w:rPr>
      </w:pPr>
      <w:r w:rsidRPr="00C052C6">
        <w:rPr>
          <w:rFonts w:eastAsia="Meiryo"/>
          <w:b/>
          <w:bCs/>
          <w:kern w:val="24"/>
          <w:sz w:val="20"/>
          <w:szCs w:val="20"/>
        </w:rPr>
        <w:t>RAN2#113</w:t>
      </w:r>
      <w:r w:rsidR="00E77AD4">
        <w:rPr>
          <w:rFonts w:eastAsia="Meiryo"/>
          <w:b/>
          <w:bCs/>
          <w:kern w:val="24"/>
          <w:sz w:val="20"/>
          <w:szCs w:val="20"/>
        </w:rPr>
        <w:t>e</w:t>
      </w:r>
      <w:r w:rsidRPr="00C052C6">
        <w:rPr>
          <w:rFonts w:eastAsia="Meiryo"/>
          <w:b/>
          <w:bCs/>
          <w:kern w:val="24"/>
          <w:sz w:val="20"/>
          <w:szCs w:val="20"/>
        </w:rPr>
        <w:t xml:space="preserve"> </w:t>
      </w:r>
      <w:r w:rsidRPr="00C052C6">
        <w:rPr>
          <w:b/>
          <w:bCs/>
          <w:sz w:val="20"/>
          <w:szCs w:val="20"/>
        </w:rPr>
        <w:t>Agreements:</w:t>
      </w:r>
    </w:p>
    <w:p w14:paraId="066C31DC" w14:textId="0B7B0754" w:rsidR="00C052C6" w:rsidRPr="00E77AD4" w:rsidRDefault="00C052C6" w:rsidP="00E77AD4">
      <w:pPr>
        <w:pStyle w:val="NormalWeb"/>
        <w:numPr>
          <w:ilvl w:val="0"/>
          <w:numId w:val="50"/>
        </w:numPr>
        <w:pBdr>
          <w:top w:val="single" w:sz="4" w:space="1" w:color="auto"/>
          <w:left w:val="single" w:sz="4" w:space="4" w:color="auto"/>
          <w:bottom w:val="single" w:sz="4" w:space="1" w:color="auto"/>
          <w:right w:val="single" w:sz="4" w:space="4" w:color="auto"/>
        </w:pBdr>
        <w:rPr>
          <w:sz w:val="20"/>
          <w:szCs w:val="20"/>
        </w:rPr>
      </w:pPr>
      <w:r w:rsidRPr="00C052C6">
        <w:rPr>
          <w:sz w:val="20"/>
          <w:szCs w:val="20"/>
          <w:highlight w:val="yellow"/>
        </w:rPr>
        <w:t>RAN2 continues to progress the work based the separate RACH resources for</w:t>
      </w:r>
      <w:r w:rsidRPr="00C052C6">
        <w:rPr>
          <w:sz w:val="20"/>
          <w:szCs w:val="20"/>
        </w:rPr>
        <w:t xml:space="preserve"> SDT (i.e. explicit mechanisms to support common resources won’t be pursued unless there is sufficient support for this</w:t>
      </w:r>
      <w:r w:rsidR="00A4544A">
        <w:rPr>
          <w:sz w:val="20"/>
          <w:szCs w:val="20"/>
        </w:rPr>
        <w:t>)</w:t>
      </w:r>
      <w:r w:rsidRPr="00C052C6">
        <w:rPr>
          <w:sz w:val="20"/>
          <w:szCs w:val="20"/>
        </w:rPr>
        <w:t>. However, use of common RACH resources will not be precluded if possible via implementation</w:t>
      </w:r>
      <w:r>
        <w:rPr>
          <w:sz w:val="20"/>
          <w:szCs w:val="20"/>
        </w:rPr>
        <w:t>.</w:t>
      </w:r>
    </w:p>
    <w:p w14:paraId="2F561BFA" w14:textId="77777777" w:rsidR="00C052C6" w:rsidRDefault="00C052C6" w:rsidP="000906FF">
      <w:pPr>
        <w:jc w:val="both"/>
        <w:rPr>
          <w:color w:val="000000" w:themeColor="text1"/>
          <w:sz w:val="22"/>
          <w:szCs w:val="22"/>
          <w:lang w:eastAsia="zh-CN"/>
        </w:rPr>
      </w:pPr>
    </w:p>
    <w:p w14:paraId="74956477" w14:textId="05979240" w:rsidR="001270DA" w:rsidRPr="001270DA" w:rsidRDefault="001270DA" w:rsidP="001270DA">
      <w:pPr>
        <w:jc w:val="both"/>
        <w:rPr>
          <w:sz w:val="22"/>
          <w:szCs w:val="22"/>
        </w:rPr>
      </w:pPr>
      <w:r w:rsidRPr="001270DA">
        <w:rPr>
          <w:sz w:val="22"/>
          <w:szCs w:val="22"/>
        </w:rPr>
        <w:t xml:space="preserve">In this contribution, we discuss some </w:t>
      </w:r>
      <w:r w:rsidRPr="001270DA">
        <w:rPr>
          <w:color w:val="000000"/>
          <w:sz w:val="22"/>
          <w:szCs w:val="22"/>
          <w:lang w:eastAsia="zh-CN"/>
        </w:rPr>
        <w:t xml:space="preserve">aspects of small data transmissions relating to </w:t>
      </w:r>
      <w:r w:rsidRPr="001270DA">
        <w:rPr>
          <w:sz w:val="22"/>
          <w:szCs w:val="22"/>
        </w:rPr>
        <w:t xml:space="preserve">random-access (RA) based schemes such as </w:t>
      </w:r>
      <w:r w:rsidRPr="001270DA">
        <w:rPr>
          <w:rFonts w:eastAsia="MS Mincho"/>
          <w:sz w:val="22"/>
          <w:szCs w:val="22"/>
          <w:lang w:val="en-US"/>
        </w:rPr>
        <w:t xml:space="preserve">CORESET and Search space for SDT, RNTI for subsequent SDT, </w:t>
      </w:r>
      <w:r w:rsidRPr="001270DA">
        <w:rPr>
          <w:rFonts w:cstheme="minorHAnsi"/>
          <w:sz w:val="22"/>
          <w:szCs w:val="22"/>
        </w:rPr>
        <w:t>RA-RNTI collision for SDT and non-SDT</w:t>
      </w:r>
      <w:r w:rsidR="00937625">
        <w:rPr>
          <w:rFonts w:cstheme="minorHAnsi"/>
          <w:sz w:val="22"/>
          <w:szCs w:val="22"/>
        </w:rPr>
        <w:t>,</w:t>
      </w:r>
      <w:r w:rsidRPr="001270DA">
        <w:rPr>
          <w:rFonts w:cstheme="minorHAnsi"/>
          <w:sz w:val="22"/>
          <w:szCs w:val="22"/>
        </w:rPr>
        <w:t xml:space="preserve"> and </w:t>
      </w:r>
      <w:r w:rsidRPr="001270DA">
        <w:rPr>
          <w:sz w:val="22"/>
          <w:szCs w:val="22"/>
        </w:rPr>
        <w:t>BWP for RA-SDT.</w:t>
      </w:r>
    </w:p>
    <w:p w14:paraId="791138DD" w14:textId="77777777" w:rsidR="001270DA" w:rsidRDefault="001270DA" w:rsidP="001270DA">
      <w:pPr>
        <w:jc w:val="both"/>
        <w:rPr>
          <w:sz w:val="22"/>
          <w:szCs w:val="22"/>
        </w:rPr>
      </w:pPr>
    </w:p>
    <w:p w14:paraId="29653389" w14:textId="0C8DAD1B" w:rsidR="006B3A7C" w:rsidRPr="005C749F" w:rsidRDefault="005C749F" w:rsidP="006B3A7C">
      <w:pPr>
        <w:pStyle w:val="Heading2"/>
        <w:numPr>
          <w:ilvl w:val="0"/>
          <w:numId w:val="33"/>
        </w:numPr>
        <w:rPr>
          <w:rStyle w:val="B1Char"/>
          <w:b/>
          <w:sz w:val="28"/>
          <w:szCs w:val="28"/>
        </w:rPr>
      </w:pPr>
      <w:r>
        <w:rPr>
          <w:rStyle w:val="B1Char"/>
          <w:b/>
          <w:sz w:val="28"/>
          <w:szCs w:val="28"/>
        </w:rPr>
        <w:t xml:space="preserve"> </w:t>
      </w:r>
      <w:r w:rsidRPr="005C749F">
        <w:rPr>
          <w:rFonts w:ascii="Times New Roman" w:hAnsi="Times New Roman"/>
          <w:b/>
          <w:sz w:val="28"/>
          <w:szCs w:val="28"/>
        </w:rPr>
        <w:t>RA</w:t>
      </w:r>
      <w:r w:rsidR="004C6B76">
        <w:rPr>
          <w:rFonts w:ascii="Times New Roman" w:hAnsi="Times New Roman"/>
          <w:b/>
          <w:sz w:val="28"/>
          <w:szCs w:val="28"/>
        </w:rPr>
        <w:t>CH</w:t>
      </w:r>
      <w:r>
        <w:rPr>
          <w:rFonts w:ascii="Times New Roman" w:hAnsi="Times New Roman"/>
          <w:b/>
          <w:sz w:val="28"/>
          <w:szCs w:val="28"/>
        </w:rPr>
        <w:t>-</w:t>
      </w:r>
      <w:r w:rsidRPr="005C749F">
        <w:rPr>
          <w:rFonts w:ascii="Times New Roman" w:hAnsi="Times New Roman"/>
          <w:b/>
          <w:sz w:val="28"/>
          <w:szCs w:val="28"/>
        </w:rPr>
        <w:t xml:space="preserve">based </w:t>
      </w:r>
      <w:r w:rsidR="004C6B76">
        <w:rPr>
          <w:rFonts w:ascii="Times New Roman" w:hAnsi="Times New Roman"/>
          <w:b/>
          <w:sz w:val="28"/>
          <w:szCs w:val="28"/>
        </w:rPr>
        <w:t>SDT</w:t>
      </w:r>
    </w:p>
    <w:p w14:paraId="638B0725" w14:textId="77777777" w:rsidR="00C47C79" w:rsidRDefault="00C47C79" w:rsidP="00C47C79">
      <w:pPr>
        <w:pStyle w:val="Header"/>
        <w:tabs>
          <w:tab w:val="left" w:pos="720"/>
        </w:tabs>
        <w:spacing w:after="120"/>
        <w:jc w:val="both"/>
        <w:rPr>
          <w:rFonts w:ascii="Times New Roman" w:hAnsi="Times New Roman"/>
          <w:b w:val="0"/>
          <w:color w:val="000000"/>
          <w:sz w:val="22"/>
          <w:szCs w:val="22"/>
        </w:rPr>
      </w:pPr>
      <w:r w:rsidRPr="00C47C79">
        <w:rPr>
          <w:rFonts w:ascii="Times New Roman" w:eastAsia="MS Mincho" w:hAnsi="Times New Roman"/>
          <w:sz w:val="22"/>
          <w:szCs w:val="22"/>
          <w:lang w:val="en-US"/>
        </w:rPr>
        <w:t>CORESET and Search space for SDT</w:t>
      </w:r>
      <w:r>
        <w:rPr>
          <w:b w:val="0"/>
          <w:sz w:val="22"/>
          <w:szCs w:val="22"/>
          <w:lang w:eastAsia="ko-KR"/>
        </w:rPr>
        <w:t xml:space="preserve">: </w:t>
      </w:r>
      <w:r w:rsidRPr="00B30DD3">
        <w:rPr>
          <w:rFonts w:ascii="Times New Roman" w:hAnsi="Times New Roman"/>
          <w:b w:val="0"/>
          <w:sz w:val="22"/>
          <w:szCs w:val="22"/>
        </w:rPr>
        <w:t xml:space="preserve">RAN2 agreed that after successful completion of the RACH procedure, </w:t>
      </w:r>
      <w:r w:rsidRPr="002D3C1D">
        <w:rPr>
          <w:rFonts w:ascii="Times New Roman" w:hAnsi="Times New Roman"/>
          <w:b w:val="0"/>
          <w:bCs/>
          <w:color w:val="000000"/>
          <w:sz w:val="22"/>
          <w:szCs w:val="22"/>
        </w:rPr>
        <w:t xml:space="preserve">a UE can transmit and receive multiple UL and DL packets as part of the same SDT mechanism by </w:t>
      </w:r>
      <w:r w:rsidRPr="002D3C1D">
        <w:rPr>
          <w:rFonts w:ascii="Times New Roman" w:hAnsi="Times New Roman"/>
          <w:b w:val="0"/>
          <w:bCs/>
          <w:sz w:val="22"/>
          <w:szCs w:val="22"/>
        </w:rPr>
        <w:t>monitoring the PDCCH addressed to C-RNTI</w:t>
      </w:r>
      <w:r w:rsidRPr="002D3C1D">
        <w:rPr>
          <w:rFonts w:ascii="Times New Roman" w:hAnsi="Times New Roman"/>
          <w:b w:val="0"/>
          <w:bCs/>
          <w:color w:val="000000"/>
          <w:sz w:val="22"/>
          <w:szCs w:val="22"/>
        </w:rPr>
        <w:t xml:space="preserve"> without transitioning to RRC_CONNECTED.</w:t>
      </w:r>
      <w:r>
        <w:rPr>
          <w:rFonts w:ascii="Times New Roman" w:hAnsi="Times New Roman"/>
          <w:b w:val="0"/>
          <w:color w:val="000000"/>
          <w:sz w:val="22"/>
          <w:szCs w:val="22"/>
        </w:rPr>
        <w:t xml:space="preserve"> </w:t>
      </w:r>
    </w:p>
    <w:p w14:paraId="0BC5F2BD" w14:textId="74BB0C47" w:rsidR="00C47C79" w:rsidRPr="00C47C79" w:rsidRDefault="00C47C79" w:rsidP="00C47C79">
      <w:pPr>
        <w:pStyle w:val="Header"/>
        <w:tabs>
          <w:tab w:val="left" w:pos="720"/>
        </w:tabs>
        <w:spacing w:after="120"/>
        <w:jc w:val="both"/>
        <w:rPr>
          <w:rFonts w:ascii="Times New Roman" w:hAnsi="Times New Roman"/>
          <w:b w:val="0"/>
          <w:color w:val="000000"/>
          <w:sz w:val="22"/>
          <w:szCs w:val="22"/>
        </w:rPr>
      </w:pPr>
      <w:r>
        <w:rPr>
          <w:rFonts w:ascii="Times New Roman" w:hAnsi="Times New Roman"/>
          <w:b w:val="0"/>
          <w:color w:val="000000"/>
          <w:sz w:val="22"/>
          <w:szCs w:val="22"/>
        </w:rPr>
        <w:t xml:space="preserve">Configuration of </w:t>
      </w:r>
      <w:r w:rsidRPr="00D70653">
        <w:rPr>
          <w:rFonts w:ascii="Times New Roman" w:hAnsi="Times New Roman"/>
          <w:b w:val="0"/>
          <w:sz w:val="22"/>
          <w:szCs w:val="22"/>
        </w:rPr>
        <w:t>CORESET</w:t>
      </w:r>
      <w:r>
        <w:rPr>
          <w:rFonts w:ascii="Times New Roman" w:hAnsi="Times New Roman"/>
          <w:b w:val="0"/>
          <w:sz w:val="22"/>
          <w:szCs w:val="22"/>
        </w:rPr>
        <w:t xml:space="preserve"> and S</w:t>
      </w:r>
      <w:r w:rsidRPr="0039398A">
        <w:rPr>
          <w:rFonts w:ascii="Times New Roman" w:hAnsi="Times New Roman"/>
          <w:b w:val="0"/>
          <w:sz w:val="22"/>
          <w:szCs w:val="22"/>
        </w:rPr>
        <w:t xml:space="preserve">earch space is obviously needed for SDT </w:t>
      </w:r>
      <w:r w:rsidRPr="00B30DD3">
        <w:rPr>
          <w:rFonts w:ascii="Times New Roman" w:hAnsi="Times New Roman"/>
          <w:b w:val="0"/>
          <w:sz w:val="22"/>
          <w:szCs w:val="22"/>
        </w:rPr>
        <w:t>after successful completion of the RACH procedure</w:t>
      </w:r>
      <w:r w:rsidRPr="0039398A">
        <w:rPr>
          <w:rFonts w:ascii="Times New Roman" w:hAnsi="Times New Roman"/>
          <w:b w:val="0"/>
          <w:sz w:val="22"/>
          <w:szCs w:val="22"/>
        </w:rPr>
        <w:t>. The starting point should be based on CSS Type 1 (Type1-PDCCH) and CORESET</w:t>
      </w:r>
      <w:r>
        <w:rPr>
          <w:rFonts w:ascii="Times New Roman" w:hAnsi="Times New Roman"/>
          <w:b w:val="0"/>
          <w:sz w:val="22"/>
          <w:szCs w:val="22"/>
        </w:rPr>
        <w:t>#0</w:t>
      </w:r>
      <w:r w:rsidRPr="0039398A">
        <w:rPr>
          <w:rFonts w:ascii="Times New Roman" w:hAnsi="Times New Roman"/>
          <w:b w:val="0"/>
          <w:sz w:val="22"/>
          <w:szCs w:val="22"/>
        </w:rPr>
        <w:t xml:space="preserve">. However, we have to consider flexibilty of configuring different common search space </w:t>
      </w:r>
      <w:r>
        <w:rPr>
          <w:rFonts w:ascii="Times New Roman" w:hAnsi="Times New Roman"/>
          <w:b w:val="0"/>
          <w:sz w:val="22"/>
          <w:szCs w:val="22"/>
        </w:rPr>
        <w:t xml:space="preserve">and </w:t>
      </w:r>
      <w:r w:rsidRPr="00D70653">
        <w:rPr>
          <w:rFonts w:ascii="Times New Roman" w:hAnsi="Times New Roman"/>
          <w:b w:val="0"/>
          <w:sz w:val="22"/>
          <w:szCs w:val="22"/>
        </w:rPr>
        <w:t>CORESET</w:t>
      </w:r>
      <w:r w:rsidRPr="0039398A">
        <w:rPr>
          <w:rFonts w:ascii="Times New Roman" w:hAnsi="Times New Roman"/>
          <w:b w:val="0"/>
          <w:sz w:val="22"/>
          <w:szCs w:val="22"/>
        </w:rPr>
        <w:t xml:space="preserve"> if capacity is needed to be increased in the cell.</w:t>
      </w:r>
      <w:r>
        <w:rPr>
          <w:rFonts w:ascii="Times New Roman" w:hAnsi="Times New Roman"/>
          <w:b w:val="0"/>
          <w:sz w:val="22"/>
          <w:szCs w:val="22"/>
        </w:rPr>
        <w:t xml:space="preserve"> In this </w:t>
      </w:r>
      <w:r w:rsidRPr="00EF71A9">
        <w:rPr>
          <w:rFonts w:ascii="Times New Roman" w:hAnsi="Times New Roman"/>
          <w:b w:val="0"/>
          <w:sz w:val="22"/>
          <w:szCs w:val="22"/>
        </w:rPr>
        <w:t xml:space="preserve">case, another common search space (CSS Type X) and its associated CORESET can be configured via </w:t>
      </w:r>
      <w:r w:rsidRPr="00EF71A9">
        <w:rPr>
          <w:rFonts w:ascii="Times New Roman" w:hAnsi="Times New Roman"/>
          <w:b w:val="0"/>
          <w:bCs/>
          <w:i/>
          <w:iCs/>
          <w:sz w:val="22"/>
          <w:szCs w:val="22"/>
          <w:lang w:val="en-US" w:eastAsia="zh-CN"/>
        </w:rPr>
        <w:t>PDCCH-ConfigCommon</w:t>
      </w:r>
      <w:r>
        <w:rPr>
          <w:rFonts w:ascii="Times New Roman" w:hAnsi="Times New Roman"/>
          <w:b w:val="0"/>
          <w:color w:val="000000"/>
          <w:sz w:val="22"/>
          <w:szCs w:val="22"/>
        </w:rPr>
        <w:t xml:space="preserve"> to </w:t>
      </w:r>
      <w:r w:rsidRPr="00B30DD3">
        <w:rPr>
          <w:rFonts w:ascii="Times New Roman" w:hAnsi="Times New Roman"/>
          <w:b w:val="0"/>
          <w:color w:val="000000"/>
          <w:sz w:val="22"/>
          <w:szCs w:val="22"/>
        </w:rPr>
        <w:t xml:space="preserve">receive </w:t>
      </w:r>
      <w:r>
        <w:rPr>
          <w:rFonts w:ascii="Times New Roman" w:hAnsi="Times New Roman"/>
          <w:b w:val="0"/>
          <w:color w:val="000000"/>
          <w:sz w:val="22"/>
          <w:szCs w:val="22"/>
        </w:rPr>
        <w:t xml:space="preserve">the scheduling assignments for subsequent </w:t>
      </w:r>
      <w:r w:rsidRPr="00B30DD3">
        <w:rPr>
          <w:rFonts w:ascii="Times New Roman" w:hAnsi="Times New Roman"/>
          <w:b w:val="0"/>
          <w:color w:val="000000"/>
          <w:sz w:val="22"/>
          <w:szCs w:val="22"/>
        </w:rPr>
        <w:t>UL and DL packets</w:t>
      </w:r>
      <w:r>
        <w:rPr>
          <w:rFonts w:ascii="Times New Roman" w:hAnsi="Times New Roman"/>
          <w:b w:val="0"/>
          <w:color w:val="000000"/>
          <w:sz w:val="22"/>
          <w:szCs w:val="22"/>
        </w:rPr>
        <w:t xml:space="preserve"> of SDT during Inactive state.</w:t>
      </w:r>
    </w:p>
    <w:p w14:paraId="43FDF8D4" w14:textId="4CFAEEB4" w:rsidR="00C47C79" w:rsidRDefault="00C47C79" w:rsidP="00C47C79">
      <w:pPr>
        <w:pStyle w:val="Header"/>
        <w:tabs>
          <w:tab w:val="left" w:pos="720"/>
        </w:tabs>
        <w:spacing w:after="120"/>
        <w:jc w:val="both"/>
        <w:rPr>
          <w:rFonts w:ascii="Times New Roman" w:hAnsi="Times New Roman"/>
          <w:b w:val="0"/>
          <w:sz w:val="22"/>
          <w:szCs w:val="22"/>
        </w:rPr>
      </w:pPr>
      <w:r>
        <w:rPr>
          <w:rFonts w:ascii="Times New Roman" w:hAnsi="Times New Roman"/>
          <w:b w:val="0"/>
          <w:sz w:val="22"/>
          <w:szCs w:val="22"/>
        </w:rPr>
        <w:t xml:space="preserve">Another option could be to configure a UE specific search space (USS) and CORESET either via RRC Release (i.e. when UE moves from RRC connected to RRC Inactive) or in msg4/msgB. The concern on this option is </w:t>
      </w:r>
      <w:r>
        <w:rPr>
          <w:rFonts w:ascii="Times New Roman" w:hAnsi="Times New Roman"/>
          <w:b w:val="0"/>
          <w:sz w:val="22"/>
          <w:szCs w:val="22"/>
        </w:rPr>
        <w:lastRenderedPageBreak/>
        <w:t>that each UE would require a separate configuration which will increase the resource and signalling overhead</w:t>
      </w:r>
      <w:r w:rsidRPr="00E3676A">
        <w:rPr>
          <w:rFonts w:ascii="Times New Roman" w:hAnsi="Times New Roman"/>
          <w:b w:val="0"/>
          <w:sz w:val="22"/>
          <w:szCs w:val="22"/>
        </w:rPr>
        <w:t xml:space="preserve"> </w:t>
      </w:r>
      <w:r>
        <w:rPr>
          <w:rFonts w:ascii="Times New Roman" w:hAnsi="Times New Roman"/>
          <w:b w:val="0"/>
          <w:sz w:val="22"/>
          <w:szCs w:val="22"/>
        </w:rPr>
        <w:t>significantly in the cell.</w:t>
      </w:r>
    </w:p>
    <w:p w14:paraId="013FB164" w14:textId="38827EA2" w:rsidR="00C47C79" w:rsidRPr="00C47C79" w:rsidRDefault="00C47C79" w:rsidP="00736815">
      <w:pPr>
        <w:jc w:val="both"/>
        <w:rPr>
          <w:b/>
        </w:rPr>
      </w:pPr>
      <w:r w:rsidRPr="00C47C79">
        <w:rPr>
          <w:rFonts w:eastAsia="MS Mincho"/>
          <w:b/>
          <w:bCs/>
          <w:sz w:val="22"/>
          <w:szCs w:val="22"/>
          <w:lang w:val="en-US"/>
        </w:rPr>
        <w:t xml:space="preserve">Proposal 1: </w:t>
      </w:r>
      <w:r w:rsidRPr="00C47C79">
        <w:rPr>
          <w:b/>
          <w:bCs/>
          <w:sz w:val="22"/>
          <w:szCs w:val="22"/>
        </w:rPr>
        <w:t xml:space="preserve">After the successful completion of the random-access procedure for SDT, a UE monitors </w:t>
      </w:r>
      <w:r w:rsidRPr="00C47C79">
        <w:rPr>
          <w:b/>
          <w:sz w:val="22"/>
          <w:szCs w:val="22"/>
        </w:rPr>
        <w:t xml:space="preserve">CSS Type 1 and CORESET#0 if </w:t>
      </w:r>
      <w:r w:rsidRPr="00C47C79">
        <w:rPr>
          <w:b/>
          <w:bCs/>
          <w:i/>
          <w:iCs/>
          <w:sz w:val="22"/>
          <w:szCs w:val="22"/>
          <w:lang w:val="en-US" w:eastAsia="zh-CN"/>
        </w:rPr>
        <w:t>PDCCH-</w:t>
      </w:r>
      <w:proofErr w:type="spellStart"/>
      <w:r w:rsidRPr="00C47C79">
        <w:rPr>
          <w:b/>
          <w:bCs/>
          <w:i/>
          <w:iCs/>
          <w:sz w:val="22"/>
          <w:szCs w:val="22"/>
          <w:lang w:val="en-US" w:eastAsia="zh-CN"/>
        </w:rPr>
        <w:t>ConfigCommon</w:t>
      </w:r>
      <w:proofErr w:type="spellEnd"/>
      <w:r w:rsidRPr="00C47C79">
        <w:rPr>
          <w:b/>
          <w:sz w:val="22"/>
          <w:szCs w:val="22"/>
        </w:rPr>
        <w:t xml:space="preserve"> does not configure another common search space (CSS Type X)</w:t>
      </w:r>
      <w:r w:rsidRPr="00C47C79">
        <w:rPr>
          <w:b/>
          <w:bCs/>
          <w:i/>
          <w:iCs/>
          <w:sz w:val="22"/>
          <w:szCs w:val="22"/>
          <w:lang w:val="en-US" w:eastAsia="zh-CN"/>
        </w:rPr>
        <w:t xml:space="preserve">. </w:t>
      </w:r>
      <w:r w:rsidRPr="00C47C79">
        <w:rPr>
          <w:b/>
          <w:bCs/>
          <w:lang w:val="en-US" w:eastAsia="zh-CN"/>
        </w:rPr>
        <w:t>I</w:t>
      </w:r>
      <w:r w:rsidRPr="00C47C79">
        <w:rPr>
          <w:b/>
        </w:rPr>
        <w:t xml:space="preserve">f </w:t>
      </w:r>
      <w:r w:rsidRPr="00C47C79">
        <w:rPr>
          <w:b/>
          <w:bCs/>
          <w:i/>
          <w:iCs/>
          <w:lang w:val="en-US" w:eastAsia="zh-CN"/>
        </w:rPr>
        <w:t>PDCCH-</w:t>
      </w:r>
      <w:proofErr w:type="spellStart"/>
      <w:r w:rsidRPr="00C47C79">
        <w:rPr>
          <w:b/>
          <w:bCs/>
          <w:i/>
          <w:iCs/>
          <w:lang w:val="en-US" w:eastAsia="zh-CN"/>
        </w:rPr>
        <w:t>ConfigCommon</w:t>
      </w:r>
      <w:proofErr w:type="spellEnd"/>
      <w:r w:rsidRPr="00C47C79">
        <w:rPr>
          <w:b/>
        </w:rPr>
        <w:t xml:space="preserve"> configures another common search space (CSS Type X)</w:t>
      </w:r>
      <w:r w:rsidRPr="00C47C79">
        <w:rPr>
          <w:b/>
          <w:bCs/>
          <w:i/>
          <w:iCs/>
          <w:lang w:val="en-US" w:eastAsia="zh-CN"/>
        </w:rPr>
        <w:t xml:space="preserve">, </w:t>
      </w:r>
      <w:r w:rsidRPr="00C47C79">
        <w:rPr>
          <w:b/>
          <w:bCs/>
        </w:rPr>
        <w:t xml:space="preserve">a UE should monitor this </w:t>
      </w:r>
      <w:r w:rsidRPr="00C47C79">
        <w:rPr>
          <w:b/>
        </w:rPr>
        <w:t>CSS Type X and its associated common CORESET#Y.</w:t>
      </w:r>
    </w:p>
    <w:p w14:paraId="7E4B8680" w14:textId="77777777" w:rsidR="00CE5B71" w:rsidRDefault="00CE5B71" w:rsidP="00CE5B71">
      <w:pPr>
        <w:pStyle w:val="Header"/>
        <w:tabs>
          <w:tab w:val="left" w:pos="720"/>
        </w:tabs>
        <w:spacing w:after="120"/>
        <w:jc w:val="both"/>
        <w:rPr>
          <w:rFonts w:ascii="Times New Roman" w:hAnsi="Times New Roman"/>
          <w:bCs/>
          <w:sz w:val="22"/>
          <w:szCs w:val="22"/>
          <w:lang w:val="en-US"/>
        </w:rPr>
      </w:pPr>
    </w:p>
    <w:p w14:paraId="6F619133" w14:textId="2271E940" w:rsidR="00CE5B71" w:rsidRPr="005101F2" w:rsidRDefault="00CE5B71" w:rsidP="00CE5B71">
      <w:pPr>
        <w:pStyle w:val="Header"/>
        <w:tabs>
          <w:tab w:val="left" w:pos="720"/>
        </w:tabs>
        <w:spacing w:after="120"/>
        <w:jc w:val="both"/>
        <w:rPr>
          <w:rFonts w:ascii="Times New Roman" w:hAnsi="Times New Roman"/>
          <w:bCs/>
          <w:sz w:val="22"/>
          <w:szCs w:val="22"/>
          <w:u w:val="single"/>
        </w:rPr>
      </w:pPr>
      <w:r>
        <w:rPr>
          <w:rFonts w:ascii="Times New Roman" w:hAnsi="Times New Roman"/>
          <w:bCs/>
          <w:sz w:val="22"/>
          <w:szCs w:val="22"/>
          <w:u w:val="single"/>
        </w:rPr>
        <w:t xml:space="preserve">Naming of the </w:t>
      </w:r>
      <w:r w:rsidRPr="005101F2">
        <w:rPr>
          <w:rFonts w:ascii="Times New Roman" w:hAnsi="Times New Roman"/>
          <w:bCs/>
          <w:sz w:val="22"/>
          <w:szCs w:val="22"/>
          <w:u w:val="single"/>
        </w:rPr>
        <w:t>RNTI</w:t>
      </w:r>
      <w:r w:rsidR="00D10C8C">
        <w:rPr>
          <w:rFonts w:ascii="Times New Roman" w:hAnsi="Times New Roman"/>
          <w:bCs/>
          <w:sz w:val="22"/>
          <w:szCs w:val="22"/>
          <w:u w:val="single"/>
        </w:rPr>
        <w:t xml:space="preserve"> for SDT</w:t>
      </w:r>
      <w:r w:rsidRPr="005101F2">
        <w:rPr>
          <w:rFonts w:ascii="Times New Roman" w:hAnsi="Times New Roman"/>
          <w:bCs/>
          <w:sz w:val="22"/>
          <w:szCs w:val="22"/>
          <w:u w:val="single"/>
        </w:rPr>
        <w:t>:</w:t>
      </w:r>
    </w:p>
    <w:p w14:paraId="0D0C4572" w14:textId="77777777" w:rsidR="00CE5B71" w:rsidRPr="001F7D93" w:rsidRDefault="00CE5B71" w:rsidP="00CE5B71">
      <w:pPr>
        <w:jc w:val="both"/>
        <w:rPr>
          <w:sz w:val="22"/>
          <w:szCs w:val="22"/>
        </w:rPr>
      </w:pPr>
      <w:r w:rsidRPr="002968F1">
        <w:rPr>
          <w:rFonts w:eastAsia="MS Mincho"/>
          <w:bCs/>
          <w:sz w:val="22"/>
          <w:szCs w:val="22"/>
          <w:lang w:val="en-US"/>
        </w:rPr>
        <w:t>In Rel-15, before and during initial access, a UE may monitor common search spaces (CSS) for SIB1 (</w:t>
      </w:r>
      <w:r w:rsidRPr="002968F1">
        <w:rPr>
          <w:sz w:val="22"/>
          <w:szCs w:val="22"/>
        </w:rPr>
        <w:t>Type0-PDCCH), other system information (Type0A-PDCCH), random access (Type1-PDCCH), and paging (Type2-</w:t>
      </w:r>
      <w:r w:rsidRPr="001F7D93">
        <w:rPr>
          <w:sz w:val="22"/>
          <w:szCs w:val="22"/>
        </w:rPr>
        <w:t xml:space="preserve">PDCCH) where </w:t>
      </w:r>
      <w:r>
        <w:rPr>
          <w:sz w:val="22"/>
          <w:szCs w:val="22"/>
        </w:rPr>
        <w:t xml:space="preserve">the CRC of </w:t>
      </w:r>
      <w:r w:rsidRPr="001F7D93">
        <w:rPr>
          <w:sz w:val="22"/>
          <w:szCs w:val="22"/>
        </w:rPr>
        <w:t>the corresponding DCI format is scrambled by SI-RNTI, RA-RNTI or a TC-RNTI, and P-RNTI.</w:t>
      </w:r>
    </w:p>
    <w:p w14:paraId="2AD0D9E4" w14:textId="77777777" w:rsidR="00CE5B71" w:rsidRPr="002968F1" w:rsidRDefault="00CE5B71" w:rsidP="00CE5B71">
      <w:pPr>
        <w:jc w:val="both"/>
        <w:rPr>
          <w:sz w:val="22"/>
          <w:szCs w:val="22"/>
        </w:rPr>
      </w:pPr>
      <w:r w:rsidRPr="002968F1">
        <w:rPr>
          <w:sz w:val="22"/>
          <w:szCs w:val="22"/>
        </w:rPr>
        <w:t xml:space="preserve">In connected mode, in addition to </w:t>
      </w:r>
      <w:r>
        <w:rPr>
          <w:sz w:val="22"/>
          <w:szCs w:val="22"/>
        </w:rPr>
        <w:t xml:space="preserve">some </w:t>
      </w:r>
      <w:r w:rsidRPr="002968F1">
        <w:rPr>
          <w:sz w:val="22"/>
          <w:szCs w:val="22"/>
        </w:rPr>
        <w:t xml:space="preserve">CSS monitoring, a UE may </w:t>
      </w:r>
      <w:r w:rsidRPr="002968F1">
        <w:rPr>
          <w:rFonts w:eastAsia="MS Mincho"/>
          <w:bCs/>
          <w:sz w:val="22"/>
          <w:szCs w:val="22"/>
          <w:lang w:val="en-US"/>
        </w:rPr>
        <w:t xml:space="preserve">monitor a UE specific search space (USS) </w:t>
      </w:r>
      <w:r w:rsidRPr="001F7D93">
        <w:rPr>
          <w:sz w:val="22"/>
          <w:szCs w:val="22"/>
        </w:rPr>
        <w:t xml:space="preserve">where </w:t>
      </w:r>
      <w:r>
        <w:rPr>
          <w:sz w:val="22"/>
          <w:szCs w:val="22"/>
        </w:rPr>
        <w:t xml:space="preserve">the CRC of </w:t>
      </w:r>
      <w:r w:rsidRPr="001F7D93">
        <w:rPr>
          <w:sz w:val="22"/>
          <w:szCs w:val="22"/>
        </w:rPr>
        <w:t xml:space="preserve">the corresponding DCI format is scrambled by </w:t>
      </w:r>
      <w:r w:rsidRPr="002968F1">
        <w:rPr>
          <w:sz w:val="22"/>
          <w:szCs w:val="22"/>
        </w:rPr>
        <w:t>C-RNTI</w:t>
      </w:r>
      <w:r w:rsidRPr="002968F1">
        <w:rPr>
          <w:sz w:val="22"/>
          <w:szCs w:val="22"/>
          <w:lang w:val="en-US"/>
        </w:rPr>
        <w:t>,</w:t>
      </w:r>
      <w:r w:rsidRPr="002968F1">
        <w:rPr>
          <w:sz w:val="22"/>
          <w:szCs w:val="22"/>
        </w:rPr>
        <w:t xml:space="preserve"> </w:t>
      </w:r>
      <w:r w:rsidRPr="002968F1">
        <w:rPr>
          <w:sz w:val="22"/>
          <w:szCs w:val="22"/>
          <w:lang w:val="en-US"/>
        </w:rPr>
        <w:t xml:space="preserve">MCS-C-RNTI, SP-CSI-RNTI, </w:t>
      </w:r>
      <w:r>
        <w:rPr>
          <w:sz w:val="22"/>
          <w:szCs w:val="22"/>
        </w:rPr>
        <w:t>or</w:t>
      </w:r>
      <w:r w:rsidRPr="002968F1">
        <w:rPr>
          <w:sz w:val="22"/>
          <w:szCs w:val="22"/>
        </w:rPr>
        <w:t xml:space="preserve"> CS-RNTI(s). </w:t>
      </w:r>
    </w:p>
    <w:p w14:paraId="2943D180" w14:textId="77777777" w:rsidR="00CE5B71" w:rsidRDefault="00CE5B71" w:rsidP="00CE5B71">
      <w:pPr>
        <w:jc w:val="both"/>
        <w:rPr>
          <w:sz w:val="22"/>
          <w:szCs w:val="22"/>
        </w:rPr>
      </w:pPr>
      <w:r w:rsidRPr="002968F1">
        <w:rPr>
          <w:sz w:val="22"/>
          <w:szCs w:val="22"/>
        </w:rPr>
        <w:t xml:space="preserve">Furthermore, in connected mode, a UE may </w:t>
      </w:r>
      <w:r>
        <w:rPr>
          <w:sz w:val="22"/>
          <w:szCs w:val="22"/>
        </w:rPr>
        <w:t xml:space="preserve">additionally </w:t>
      </w:r>
      <w:r w:rsidRPr="002968F1">
        <w:rPr>
          <w:rFonts w:eastAsia="MS Mincho"/>
          <w:bCs/>
          <w:sz w:val="22"/>
          <w:szCs w:val="22"/>
          <w:lang w:val="en-US"/>
        </w:rPr>
        <w:t>monitor a</w:t>
      </w:r>
      <w:r>
        <w:rPr>
          <w:rFonts w:eastAsia="MS Mincho"/>
          <w:bCs/>
          <w:sz w:val="22"/>
          <w:szCs w:val="22"/>
          <w:lang w:val="en-US"/>
        </w:rPr>
        <w:t>nother</w:t>
      </w:r>
      <w:r w:rsidRPr="002968F1">
        <w:rPr>
          <w:rFonts w:eastAsia="MS Mincho"/>
          <w:bCs/>
          <w:sz w:val="22"/>
          <w:szCs w:val="22"/>
          <w:lang w:val="en-US"/>
        </w:rPr>
        <w:t xml:space="preserve"> common search space (CSS) </w:t>
      </w:r>
      <w:r w:rsidRPr="001F7D93">
        <w:rPr>
          <w:sz w:val="22"/>
          <w:szCs w:val="22"/>
        </w:rPr>
        <w:t xml:space="preserve">where </w:t>
      </w:r>
      <w:r>
        <w:rPr>
          <w:sz w:val="22"/>
          <w:szCs w:val="22"/>
        </w:rPr>
        <w:t xml:space="preserve">the CRC of </w:t>
      </w:r>
      <w:r w:rsidRPr="001F7D93">
        <w:rPr>
          <w:sz w:val="22"/>
          <w:szCs w:val="22"/>
        </w:rPr>
        <w:t>the corresponding DCI format is scrambled by</w:t>
      </w:r>
      <w:r w:rsidRPr="002968F1">
        <w:rPr>
          <w:rFonts w:eastAsia="MS Mincho"/>
          <w:bCs/>
          <w:sz w:val="22"/>
          <w:szCs w:val="22"/>
          <w:lang w:val="en-US"/>
        </w:rPr>
        <w:t xml:space="preserve"> </w:t>
      </w:r>
      <w:r w:rsidRPr="002968F1">
        <w:rPr>
          <w:sz w:val="22"/>
          <w:szCs w:val="22"/>
        </w:rPr>
        <w:t xml:space="preserve">INT-RNTI, SFI-RNTI, TPC-PUSCH-RNTI, TPC-PUCCH-RNTI, </w:t>
      </w:r>
      <w:r>
        <w:rPr>
          <w:sz w:val="22"/>
          <w:szCs w:val="22"/>
        </w:rPr>
        <w:t>or</w:t>
      </w:r>
      <w:r w:rsidRPr="002968F1">
        <w:rPr>
          <w:sz w:val="22"/>
          <w:szCs w:val="22"/>
        </w:rPr>
        <w:t xml:space="preserve"> TPC-SRS-RNTI.</w:t>
      </w:r>
    </w:p>
    <w:p w14:paraId="29C8F4E4" w14:textId="3273C780" w:rsidR="00CE5B71" w:rsidRDefault="00CE5B71" w:rsidP="00CE5B71">
      <w:pPr>
        <w:jc w:val="both"/>
        <w:rPr>
          <w:sz w:val="22"/>
          <w:szCs w:val="22"/>
        </w:rPr>
      </w:pPr>
      <w:r>
        <w:rPr>
          <w:sz w:val="22"/>
          <w:szCs w:val="22"/>
        </w:rPr>
        <w:t xml:space="preserve">Obviously, a </w:t>
      </w:r>
      <w:r w:rsidRPr="002968F1">
        <w:rPr>
          <w:sz w:val="22"/>
          <w:szCs w:val="22"/>
        </w:rPr>
        <w:t>C-RNTI</w:t>
      </w:r>
      <w:r>
        <w:rPr>
          <w:sz w:val="22"/>
          <w:szCs w:val="22"/>
        </w:rPr>
        <w:t xml:space="preserve"> is associated with a UE specific search space when a UE is in connected mode. Consequently, the legacy specifications (for both RAN1 and RAN2) have been structured by keeping in mind that C-RNTI is always associated when a UE is in connected mode. </w:t>
      </w:r>
    </w:p>
    <w:p w14:paraId="1D679D0E" w14:textId="67B4CA55" w:rsidR="00CE5B71" w:rsidRDefault="00CE5B71" w:rsidP="00CE5B71">
      <w:pPr>
        <w:jc w:val="both"/>
        <w:rPr>
          <w:sz w:val="22"/>
          <w:szCs w:val="22"/>
        </w:rPr>
      </w:pPr>
      <w:r>
        <w:rPr>
          <w:sz w:val="22"/>
          <w:szCs w:val="22"/>
        </w:rPr>
        <w:t xml:space="preserve">If C-RNTI is also associated when a UE is in Inactive state, it could have a different meaning or purpose than the legacy C-RNTI in the </w:t>
      </w:r>
      <w:r w:rsidR="007360C1">
        <w:rPr>
          <w:sz w:val="22"/>
          <w:szCs w:val="22"/>
        </w:rPr>
        <w:t xml:space="preserve">current </w:t>
      </w:r>
      <w:r>
        <w:rPr>
          <w:sz w:val="22"/>
          <w:szCs w:val="22"/>
        </w:rPr>
        <w:t>spec, for example, for a given statement in the spec whether the stated C-RNTI is for SDT functionality or non-SDT functionalities would need to be clarified</w:t>
      </w:r>
      <w:r w:rsidR="00947C80">
        <w:rPr>
          <w:sz w:val="22"/>
          <w:szCs w:val="22"/>
        </w:rPr>
        <w:t xml:space="preserve"> and that may complicate the readability and structure of the specification</w:t>
      </w:r>
      <w:r>
        <w:rPr>
          <w:sz w:val="22"/>
          <w:szCs w:val="22"/>
        </w:rPr>
        <w:t xml:space="preserve">. Hence, it would be simpler if the naming of this RNTI is different from the conventional C-RNTI, for example to be renamed as SDT-RNTI or SDT-C-RNTI. In this case, SDT-RNTI/SDT-C-RNTI will only be added where it is relevant in the Rel-17 specification. </w:t>
      </w:r>
    </w:p>
    <w:p w14:paraId="464F691C" w14:textId="2405189C" w:rsidR="00CE5B71" w:rsidRDefault="00CE5B71" w:rsidP="00CE5B71">
      <w:pPr>
        <w:jc w:val="both"/>
        <w:rPr>
          <w:b/>
          <w:bCs/>
          <w:sz w:val="22"/>
          <w:szCs w:val="22"/>
        </w:rPr>
      </w:pPr>
      <w:r w:rsidRPr="000D7877">
        <w:rPr>
          <w:rFonts w:eastAsia="MS Mincho"/>
          <w:b/>
          <w:bCs/>
          <w:sz w:val="22"/>
          <w:szCs w:val="22"/>
          <w:lang w:val="en-US"/>
        </w:rPr>
        <w:t xml:space="preserve">Proposal 2: </w:t>
      </w:r>
      <w:r w:rsidRPr="000D7877">
        <w:rPr>
          <w:b/>
          <w:bCs/>
          <w:sz w:val="22"/>
          <w:szCs w:val="22"/>
        </w:rPr>
        <w:t>For RA-SDT, upon successful completion of contention resolution, the UE shall monitor the SDT-RNTI</w:t>
      </w:r>
      <w:r>
        <w:rPr>
          <w:b/>
          <w:bCs/>
          <w:sz w:val="22"/>
          <w:szCs w:val="22"/>
        </w:rPr>
        <w:t xml:space="preserve"> (or </w:t>
      </w:r>
      <w:r w:rsidRPr="005F2646">
        <w:rPr>
          <w:b/>
          <w:bCs/>
          <w:sz w:val="22"/>
          <w:szCs w:val="22"/>
        </w:rPr>
        <w:t>SDT-C-RNTI</w:t>
      </w:r>
      <w:r>
        <w:rPr>
          <w:b/>
          <w:bCs/>
          <w:sz w:val="22"/>
          <w:szCs w:val="22"/>
        </w:rPr>
        <w:t>)</w:t>
      </w:r>
      <w:r w:rsidRPr="000D7877">
        <w:rPr>
          <w:b/>
          <w:bCs/>
          <w:sz w:val="22"/>
          <w:szCs w:val="22"/>
        </w:rPr>
        <w:t xml:space="preserve">. </w:t>
      </w:r>
    </w:p>
    <w:p w14:paraId="728DDCDB" w14:textId="77777777" w:rsidR="00E77AD4" w:rsidRPr="000D7877" w:rsidRDefault="00E77AD4" w:rsidP="00CE5B71">
      <w:pPr>
        <w:jc w:val="both"/>
        <w:rPr>
          <w:b/>
          <w:bCs/>
          <w:sz w:val="22"/>
          <w:szCs w:val="22"/>
        </w:rPr>
      </w:pPr>
    </w:p>
    <w:p w14:paraId="7BB500E7" w14:textId="08C27487" w:rsidR="00E77AD4" w:rsidRDefault="003160BF" w:rsidP="009C0165">
      <w:pPr>
        <w:overflowPunct/>
        <w:autoSpaceDE/>
        <w:autoSpaceDN/>
        <w:adjustRightInd/>
        <w:spacing w:after="160" w:line="259" w:lineRule="auto"/>
        <w:jc w:val="both"/>
        <w:textAlignment w:val="auto"/>
        <w:rPr>
          <w:sz w:val="22"/>
          <w:szCs w:val="22"/>
        </w:rPr>
      </w:pPr>
      <w:r w:rsidRPr="003160BF">
        <w:rPr>
          <w:rFonts w:cstheme="minorHAnsi"/>
          <w:b/>
          <w:bCs/>
          <w:sz w:val="22"/>
          <w:szCs w:val="22"/>
        </w:rPr>
        <w:t xml:space="preserve">RA-RNTI collision for </w:t>
      </w:r>
      <w:r w:rsidR="001313E7">
        <w:rPr>
          <w:rFonts w:cstheme="minorHAnsi"/>
          <w:b/>
          <w:bCs/>
          <w:sz w:val="22"/>
          <w:szCs w:val="22"/>
        </w:rPr>
        <w:t>SDT and non-SDT</w:t>
      </w:r>
      <w:r w:rsidRPr="003160BF">
        <w:rPr>
          <w:rFonts w:cstheme="minorHAnsi"/>
          <w:b/>
          <w:bCs/>
          <w:sz w:val="22"/>
          <w:szCs w:val="22"/>
        </w:rPr>
        <w:t>:</w:t>
      </w:r>
      <w:r w:rsidR="009B716B">
        <w:rPr>
          <w:rFonts w:cstheme="minorHAnsi"/>
          <w:b/>
          <w:bCs/>
          <w:sz w:val="22"/>
          <w:szCs w:val="22"/>
        </w:rPr>
        <w:t xml:space="preserve"> </w:t>
      </w:r>
      <w:r w:rsidR="009B716B" w:rsidRPr="003448E0">
        <w:rPr>
          <w:sz w:val="22"/>
          <w:szCs w:val="22"/>
        </w:rPr>
        <w:t xml:space="preserve">As shown on Figure 1, </w:t>
      </w:r>
      <w:r w:rsidR="009B716B">
        <w:rPr>
          <w:sz w:val="22"/>
          <w:szCs w:val="22"/>
        </w:rPr>
        <w:t xml:space="preserve">SDT and non-SDT </w:t>
      </w:r>
      <w:r w:rsidR="009B716B" w:rsidRPr="003448E0">
        <w:rPr>
          <w:sz w:val="22"/>
          <w:szCs w:val="22"/>
        </w:rPr>
        <w:t xml:space="preserve">PRACH occasions </w:t>
      </w:r>
      <w:r w:rsidR="009B716B">
        <w:rPr>
          <w:sz w:val="22"/>
          <w:szCs w:val="22"/>
        </w:rPr>
        <w:t xml:space="preserve">(RO) can be configured independently in an FDM manner with the same starting OFDM symbol on the </w:t>
      </w:r>
      <w:r w:rsidR="009B716B" w:rsidRPr="003448E0">
        <w:rPr>
          <w:sz w:val="22"/>
          <w:szCs w:val="22"/>
        </w:rPr>
        <w:t>same slot</w:t>
      </w:r>
      <w:r w:rsidR="009B716B" w:rsidRPr="003448E0" w:rsidDel="00B31B5B">
        <w:rPr>
          <w:sz w:val="22"/>
          <w:szCs w:val="22"/>
        </w:rPr>
        <w:t xml:space="preserve"> </w:t>
      </w:r>
      <w:r w:rsidR="009B716B" w:rsidRPr="003448E0">
        <w:rPr>
          <w:sz w:val="22"/>
          <w:szCs w:val="22"/>
        </w:rPr>
        <w:t>of the same bandwidth part (BWP) of a cell</w:t>
      </w:r>
      <w:r w:rsidR="009B716B">
        <w:rPr>
          <w:sz w:val="22"/>
          <w:szCs w:val="22"/>
        </w:rPr>
        <w:t xml:space="preserve">. </w:t>
      </w:r>
    </w:p>
    <w:p w14:paraId="559F8B48" w14:textId="6D2DAAB6" w:rsidR="00E77AD4" w:rsidRDefault="00E77AD4" w:rsidP="00E77AD4">
      <w:pPr>
        <w:overflowPunct/>
        <w:autoSpaceDE/>
        <w:autoSpaceDN/>
        <w:adjustRightInd/>
        <w:spacing w:after="160" w:line="259" w:lineRule="auto"/>
        <w:jc w:val="both"/>
        <w:textAlignment w:val="auto"/>
        <w:rPr>
          <w:sz w:val="22"/>
          <w:szCs w:val="22"/>
          <w:lang w:eastAsia="en-US"/>
        </w:rPr>
      </w:pPr>
      <w:r>
        <w:rPr>
          <w:sz w:val="22"/>
          <w:szCs w:val="22"/>
        </w:rPr>
        <w:t xml:space="preserve">From this figure, UE1 and UE2 have the same starting OFDM symbol and the </w:t>
      </w:r>
      <w:r w:rsidRPr="000C72B3">
        <w:rPr>
          <w:sz w:val="22"/>
          <w:szCs w:val="22"/>
        </w:rPr>
        <w:t xml:space="preserve">same </w:t>
      </w:r>
      <w:r w:rsidRPr="000C72B3">
        <w:rPr>
          <w:rFonts w:cstheme="minorHAnsi"/>
          <w:sz w:val="22"/>
          <w:szCs w:val="22"/>
        </w:rPr>
        <w:t>frequency offset</w:t>
      </w:r>
      <w:r w:rsidRPr="000C72B3">
        <w:rPr>
          <w:sz w:val="22"/>
          <w:szCs w:val="22"/>
        </w:rPr>
        <w:t xml:space="preserve"> for the</w:t>
      </w:r>
      <w:r>
        <w:rPr>
          <w:sz w:val="22"/>
          <w:szCs w:val="22"/>
        </w:rPr>
        <w:t xml:space="preserve"> ROs locating on the </w:t>
      </w:r>
      <w:r w:rsidRPr="003448E0">
        <w:rPr>
          <w:sz w:val="22"/>
          <w:szCs w:val="22"/>
        </w:rPr>
        <w:t>same slot</w:t>
      </w:r>
      <w:r>
        <w:rPr>
          <w:sz w:val="22"/>
          <w:szCs w:val="22"/>
        </w:rPr>
        <w:t xml:space="preserve"> of the same active BWP. Hence, after UE1 and UE2 have transmitted PRACH on their corresponding uplink ROs, they </w:t>
      </w:r>
      <w:r>
        <w:rPr>
          <w:sz w:val="22"/>
          <w:szCs w:val="22"/>
          <w:lang w:eastAsia="en-US"/>
        </w:rPr>
        <w:t xml:space="preserve">will monitor a DCI in the downlink with the same RNTI </w:t>
      </w:r>
      <w:r w:rsidR="009A6ECD">
        <w:rPr>
          <w:sz w:val="22"/>
          <w:szCs w:val="22"/>
          <w:lang w:eastAsia="en-US"/>
        </w:rPr>
        <w:t>o</w:t>
      </w:r>
      <w:r>
        <w:rPr>
          <w:sz w:val="22"/>
          <w:szCs w:val="22"/>
          <w:lang w:eastAsia="en-US"/>
        </w:rPr>
        <w:t xml:space="preserve">n the same </w:t>
      </w:r>
      <w:r w:rsidRPr="0077375E">
        <w:rPr>
          <w:sz w:val="22"/>
          <w:szCs w:val="22"/>
          <w:lang w:eastAsia="en-US"/>
        </w:rPr>
        <w:t>PDCCH search space</w:t>
      </w:r>
      <w:r>
        <w:rPr>
          <w:sz w:val="22"/>
          <w:szCs w:val="22"/>
          <w:lang w:eastAsia="en-US"/>
        </w:rPr>
        <w:t xml:space="preserve"> and this results in an</w:t>
      </w:r>
      <w:r w:rsidRPr="007A4C4E">
        <w:rPr>
          <w:sz w:val="22"/>
          <w:szCs w:val="22"/>
          <w:lang w:eastAsia="en-US"/>
        </w:rPr>
        <w:t xml:space="preserve"> </w:t>
      </w:r>
      <w:r>
        <w:rPr>
          <w:sz w:val="22"/>
          <w:szCs w:val="22"/>
          <w:lang w:eastAsia="en-US"/>
        </w:rPr>
        <w:t xml:space="preserve">RNTI </w:t>
      </w:r>
      <w:r w:rsidRPr="0077375E">
        <w:rPr>
          <w:sz w:val="22"/>
          <w:szCs w:val="22"/>
        </w:rPr>
        <w:t>collision or ambiguity</w:t>
      </w:r>
      <w:r>
        <w:rPr>
          <w:sz w:val="22"/>
          <w:szCs w:val="22"/>
          <w:lang w:eastAsia="en-US"/>
        </w:rPr>
        <w:t xml:space="preserve"> unless some remedy is adopted.</w:t>
      </w:r>
    </w:p>
    <w:p w14:paraId="64AF2564" w14:textId="77777777" w:rsidR="00E77AD4" w:rsidRDefault="00E77AD4" w:rsidP="00E77AD4">
      <w:pPr>
        <w:pStyle w:val="EQ"/>
        <w:rPr>
          <w:rFonts w:cs="Calibri"/>
          <w:bCs/>
          <w:sz w:val="22"/>
          <w:szCs w:val="22"/>
        </w:rPr>
      </w:pPr>
      <w:r w:rsidRPr="00FC73E3">
        <w:rPr>
          <w:bCs/>
          <w:sz w:val="22"/>
          <w:szCs w:val="22"/>
          <w:lang w:eastAsia="zh-CN"/>
        </w:rPr>
        <w:t xml:space="preserve">In our view, </w:t>
      </w:r>
      <w:r>
        <w:rPr>
          <w:bCs/>
          <w:sz w:val="22"/>
          <w:szCs w:val="22"/>
          <w:lang w:eastAsia="zh-CN"/>
        </w:rPr>
        <w:t xml:space="preserve">the above issue can be simply solved by introducing a configurable offset </w:t>
      </w:r>
      <w:r w:rsidRPr="004169AD">
        <w:rPr>
          <w:rFonts w:cs="Calibri"/>
          <w:bCs/>
          <w:sz w:val="22"/>
          <w:szCs w:val="22"/>
        </w:rPr>
        <w:t>(</w:t>
      </w:r>
      <w:r w:rsidRPr="004169AD">
        <w:rPr>
          <w:bCs/>
          <w:i/>
          <w:sz w:val="22"/>
          <w:szCs w:val="22"/>
          <w:lang w:eastAsia="ko-KR"/>
        </w:rPr>
        <w:t>s</w:t>
      </w:r>
      <w:r>
        <w:rPr>
          <w:bCs/>
          <w:i/>
          <w:sz w:val="22"/>
          <w:szCs w:val="22"/>
          <w:lang w:eastAsia="ko-KR"/>
        </w:rPr>
        <w:t>-</w:t>
      </w:r>
      <w:r w:rsidRPr="004169AD">
        <w:rPr>
          <w:bCs/>
          <w:i/>
          <w:sz w:val="22"/>
          <w:szCs w:val="22"/>
          <w:lang w:eastAsia="ko-KR"/>
        </w:rPr>
        <w:t>offset</w:t>
      </w:r>
      <w:r w:rsidRPr="004169AD">
        <w:rPr>
          <w:rFonts w:cs="Calibri"/>
          <w:bCs/>
          <w:sz w:val="22"/>
          <w:szCs w:val="22"/>
        </w:rPr>
        <w:t xml:space="preserve">) </w:t>
      </w:r>
      <w:r>
        <w:rPr>
          <w:bCs/>
          <w:sz w:val="22"/>
          <w:szCs w:val="22"/>
          <w:lang w:eastAsia="zh-CN"/>
        </w:rPr>
        <w:t xml:space="preserve">for the </w:t>
      </w:r>
      <w:r w:rsidRPr="00FC73E3">
        <w:rPr>
          <w:rFonts w:cs="Calibri"/>
          <w:bCs/>
          <w:sz w:val="22"/>
          <w:szCs w:val="22"/>
        </w:rPr>
        <w:t xml:space="preserve">symbol index </w:t>
      </w:r>
      <w:r>
        <w:rPr>
          <w:rFonts w:cs="Calibri"/>
          <w:bCs/>
          <w:sz w:val="22"/>
          <w:szCs w:val="22"/>
        </w:rPr>
        <w:t>of the SDT RNTI equation.</w:t>
      </w:r>
    </w:p>
    <w:p w14:paraId="26FD11C5" w14:textId="77777777" w:rsidR="00E77AD4" w:rsidRDefault="00E77AD4" w:rsidP="009C0165">
      <w:pPr>
        <w:overflowPunct/>
        <w:autoSpaceDE/>
        <w:autoSpaceDN/>
        <w:adjustRightInd/>
        <w:spacing w:after="160" w:line="259" w:lineRule="auto"/>
        <w:jc w:val="both"/>
        <w:textAlignment w:val="auto"/>
        <w:rPr>
          <w:sz w:val="22"/>
          <w:szCs w:val="22"/>
        </w:rPr>
      </w:pPr>
    </w:p>
    <w:p w14:paraId="7929E8B7" w14:textId="237569D8" w:rsidR="009B716B" w:rsidRPr="0077375E" w:rsidRDefault="009C0165" w:rsidP="009C0165">
      <w:pPr>
        <w:overflowPunct/>
        <w:autoSpaceDE/>
        <w:autoSpaceDN/>
        <w:adjustRightInd/>
        <w:spacing w:after="160" w:line="259" w:lineRule="auto"/>
        <w:jc w:val="both"/>
        <w:textAlignment w:val="auto"/>
        <w:rPr>
          <w:sz w:val="22"/>
          <w:szCs w:val="22"/>
        </w:rPr>
      </w:pPr>
      <w:r w:rsidRPr="009C0165">
        <w:rPr>
          <w:noProof/>
        </w:rPr>
        <w:lastRenderedPageBreak/>
        <w:drawing>
          <wp:inline distT="0" distB="0" distL="0" distR="0" wp14:anchorId="7E42A150" wp14:editId="178274E4">
            <wp:extent cx="5644515" cy="24082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54154" cy="2412335"/>
                    </a:xfrm>
                    <a:prstGeom prst="rect">
                      <a:avLst/>
                    </a:prstGeom>
                    <a:noFill/>
                    <a:ln>
                      <a:noFill/>
                    </a:ln>
                  </pic:spPr>
                </pic:pic>
              </a:graphicData>
            </a:graphic>
          </wp:inline>
        </w:drawing>
      </w:r>
    </w:p>
    <w:p w14:paraId="17148EA9" w14:textId="2C754870" w:rsidR="009C0165" w:rsidRDefault="009B716B" w:rsidP="009B716B">
      <w:pPr>
        <w:rPr>
          <w:rFonts w:eastAsia="MS Mincho"/>
          <w:b/>
          <w:bCs/>
        </w:rPr>
      </w:pPr>
      <w:r>
        <w:rPr>
          <w:sz w:val="22"/>
          <w:szCs w:val="22"/>
        </w:rPr>
        <w:t xml:space="preserve">   </w:t>
      </w:r>
      <w:r w:rsidRPr="00680BBC">
        <w:rPr>
          <w:rFonts w:eastAsia="MS Mincho"/>
          <w:b/>
        </w:rPr>
        <w:t xml:space="preserve">Figure 1. FDM multiplexing of </w:t>
      </w:r>
      <w:r w:rsidR="009C0165">
        <w:rPr>
          <w:rFonts w:eastAsia="MS Mincho"/>
          <w:b/>
          <w:bCs/>
        </w:rPr>
        <w:t>SDT</w:t>
      </w:r>
      <w:r w:rsidR="001313E7">
        <w:rPr>
          <w:rFonts w:eastAsia="MS Mincho"/>
          <w:b/>
          <w:bCs/>
        </w:rPr>
        <w:t xml:space="preserve"> </w:t>
      </w:r>
      <w:r>
        <w:rPr>
          <w:rFonts w:eastAsia="MS Mincho"/>
          <w:b/>
          <w:bCs/>
        </w:rPr>
        <w:t xml:space="preserve">and </w:t>
      </w:r>
      <w:r w:rsidR="009C0165">
        <w:rPr>
          <w:rFonts w:eastAsia="MS Mincho"/>
          <w:b/>
          <w:bCs/>
        </w:rPr>
        <w:t>non-SDT PRACH</w:t>
      </w:r>
      <w:r w:rsidRPr="00680BBC">
        <w:rPr>
          <w:rFonts w:eastAsia="MS Mincho"/>
          <w:b/>
          <w:bCs/>
        </w:rPr>
        <w:t xml:space="preserve"> </w:t>
      </w:r>
      <w:r>
        <w:rPr>
          <w:rFonts w:eastAsia="MS Mincho"/>
          <w:b/>
          <w:bCs/>
        </w:rPr>
        <w:t xml:space="preserve">occasions </w:t>
      </w:r>
      <w:r w:rsidRPr="00680BBC">
        <w:rPr>
          <w:rFonts w:eastAsia="MS Mincho"/>
          <w:b/>
          <w:bCs/>
        </w:rPr>
        <w:t>with same starting OFDM symbol</w:t>
      </w:r>
      <w:r w:rsidR="009C0165">
        <w:rPr>
          <w:rFonts w:eastAsia="MS Mincho"/>
          <w:b/>
          <w:bCs/>
        </w:rPr>
        <w:t>.</w:t>
      </w:r>
    </w:p>
    <w:p w14:paraId="4456A8F2" w14:textId="77777777" w:rsidR="00E77AD4" w:rsidRDefault="00E77AD4" w:rsidP="00E77AD4">
      <w:pPr>
        <w:overflowPunct/>
        <w:autoSpaceDE/>
        <w:autoSpaceDN/>
        <w:adjustRightInd/>
        <w:spacing w:after="160" w:line="259" w:lineRule="auto"/>
        <w:jc w:val="both"/>
        <w:textAlignment w:val="auto"/>
        <w:rPr>
          <w:sz w:val="22"/>
          <w:szCs w:val="22"/>
        </w:rPr>
      </w:pPr>
    </w:p>
    <w:p w14:paraId="53B09231" w14:textId="5800FE71" w:rsidR="001313E7" w:rsidRPr="002140A4" w:rsidRDefault="009C0165" w:rsidP="008C2E7D">
      <w:pPr>
        <w:jc w:val="both"/>
        <w:rPr>
          <w:rFonts w:cstheme="minorHAnsi"/>
          <w:b/>
          <w:bCs/>
          <w:sz w:val="22"/>
          <w:szCs w:val="22"/>
        </w:rPr>
      </w:pPr>
      <w:r w:rsidRPr="002140A4">
        <w:rPr>
          <w:rFonts w:eastAsia="MS Mincho"/>
          <w:b/>
          <w:bCs/>
          <w:sz w:val="22"/>
          <w:szCs w:val="22"/>
          <w:lang w:val="en-US"/>
        </w:rPr>
        <w:t xml:space="preserve">Proposal </w:t>
      </w:r>
      <w:r w:rsidR="002140A4">
        <w:rPr>
          <w:rFonts w:eastAsia="MS Mincho"/>
          <w:b/>
          <w:bCs/>
          <w:sz w:val="22"/>
          <w:szCs w:val="22"/>
          <w:lang w:val="en-US"/>
        </w:rPr>
        <w:t>3</w:t>
      </w:r>
      <w:r w:rsidRPr="002140A4">
        <w:rPr>
          <w:rFonts w:eastAsia="MS Mincho"/>
          <w:b/>
          <w:bCs/>
          <w:sz w:val="22"/>
          <w:szCs w:val="22"/>
          <w:lang w:val="en-US"/>
        </w:rPr>
        <w:t xml:space="preserve">: RAN2 to discuss </w:t>
      </w:r>
      <w:r w:rsidR="001313E7" w:rsidRPr="002140A4">
        <w:rPr>
          <w:rFonts w:eastAsia="MS Mincho"/>
          <w:b/>
          <w:bCs/>
          <w:sz w:val="22"/>
          <w:szCs w:val="22"/>
          <w:lang w:val="en-US"/>
        </w:rPr>
        <w:t xml:space="preserve">how to address </w:t>
      </w:r>
      <w:r w:rsidR="001313E7" w:rsidRPr="002140A4">
        <w:rPr>
          <w:b/>
          <w:bCs/>
          <w:sz w:val="22"/>
          <w:szCs w:val="22"/>
        </w:rPr>
        <w:t xml:space="preserve">the </w:t>
      </w:r>
      <w:r w:rsidRPr="002140A4">
        <w:rPr>
          <w:rFonts w:cstheme="minorHAnsi"/>
          <w:b/>
          <w:bCs/>
          <w:sz w:val="22"/>
          <w:szCs w:val="22"/>
        </w:rPr>
        <w:t xml:space="preserve">RA-RNTI collision </w:t>
      </w:r>
      <w:r w:rsidR="001313E7" w:rsidRPr="002140A4">
        <w:rPr>
          <w:rFonts w:cstheme="minorHAnsi"/>
          <w:b/>
          <w:bCs/>
          <w:sz w:val="22"/>
          <w:szCs w:val="22"/>
        </w:rPr>
        <w:t xml:space="preserve">for SDT and non-SDT </w:t>
      </w:r>
      <w:r w:rsidR="002140A4" w:rsidRPr="002140A4">
        <w:rPr>
          <w:rFonts w:cstheme="minorHAnsi"/>
          <w:b/>
          <w:bCs/>
          <w:sz w:val="22"/>
          <w:szCs w:val="22"/>
        </w:rPr>
        <w:t xml:space="preserve">when their ROs have </w:t>
      </w:r>
      <w:r w:rsidR="002140A4" w:rsidRPr="002140A4">
        <w:rPr>
          <w:b/>
          <w:bCs/>
          <w:sz w:val="22"/>
          <w:szCs w:val="22"/>
        </w:rPr>
        <w:t xml:space="preserve">the same starting OFDM symbol and the same </w:t>
      </w:r>
      <w:r w:rsidR="002140A4" w:rsidRPr="002140A4">
        <w:rPr>
          <w:rFonts w:cstheme="minorHAnsi"/>
          <w:b/>
          <w:bCs/>
          <w:sz w:val="22"/>
          <w:szCs w:val="22"/>
        </w:rPr>
        <w:t>frequency offset</w:t>
      </w:r>
      <w:r w:rsidR="002140A4" w:rsidRPr="002140A4">
        <w:rPr>
          <w:b/>
          <w:bCs/>
          <w:sz w:val="22"/>
          <w:szCs w:val="22"/>
        </w:rPr>
        <w:t xml:space="preserve"> locating on the same slot of the same active BWP.</w:t>
      </w:r>
    </w:p>
    <w:p w14:paraId="733BB112" w14:textId="030FEA45" w:rsidR="001313E7" w:rsidRDefault="001313E7" w:rsidP="004169AD">
      <w:pPr>
        <w:pStyle w:val="EQ"/>
        <w:rPr>
          <w:rFonts w:cstheme="minorHAnsi"/>
          <w:b/>
          <w:bCs/>
          <w:sz w:val="22"/>
          <w:szCs w:val="22"/>
        </w:rPr>
      </w:pPr>
    </w:p>
    <w:p w14:paraId="564F7BAD" w14:textId="77777777" w:rsidR="002B4C9D" w:rsidRDefault="002B4C9D" w:rsidP="002B4C9D">
      <w:pPr>
        <w:jc w:val="both"/>
        <w:rPr>
          <w:rFonts w:cs="Calibri"/>
          <w:sz w:val="22"/>
          <w:szCs w:val="22"/>
        </w:rPr>
      </w:pPr>
      <w:r>
        <w:rPr>
          <w:b/>
          <w:bCs/>
          <w:sz w:val="22"/>
          <w:szCs w:val="22"/>
        </w:rPr>
        <w:t xml:space="preserve">BWP for RA-SDT: </w:t>
      </w:r>
      <w:r w:rsidRPr="00F31B05">
        <w:rPr>
          <w:sz w:val="22"/>
          <w:szCs w:val="22"/>
        </w:rPr>
        <w:t>An additional BWP has been proposed</w:t>
      </w:r>
      <w:r>
        <w:rPr>
          <w:sz w:val="22"/>
          <w:szCs w:val="22"/>
        </w:rPr>
        <w:t xml:space="preserve"> for CG-SDT when using CG resources [3]. Similarly, there are proposals to specify an additional “configurable” BWP also for RA due to </w:t>
      </w:r>
      <w:r w:rsidRPr="00FD1816">
        <w:rPr>
          <w:rFonts w:cs="Calibri"/>
          <w:sz w:val="22"/>
          <w:szCs w:val="22"/>
        </w:rPr>
        <w:t>limited capacity of the initial BWP</w:t>
      </w:r>
      <w:r>
        <w:rPr>
          <w:rFonts w:cs="Calibri"/>
          <w:sz w:val="22"/>
          <w:szCs w:val="22"/>
        </w:rPr>
        <w:t xml:space="preserve"> in some cases. In addition, it has been discussed that </w:t>
      </w:r>
      <w:r w:rsidRPr="00F31B05">
        <w:rPr>
          <w:sz w:val="22"/>
          <w:szCs w:val="22"/>
        </w:rPr>
        <w:t xml:space="preserve">a UE in Idle/Inactive state to receive some network transmissions such as </w:t>
      </w:r>
      <w:r w:rsidRPr="00F31B05">
        <w:rPr>
          <w:rFonts w:cs="Calibri"/>
          <w:sz w:val="22"/>
          <w:szCs w:val="22"/>
        </w:rPr>
        <w:t>Positioning</w:t>
      </w:r>
      <w:r>
        <w:rPr>
          <w:rFonts w:cs="Calibri"/>
          <w:sz w:val="22"/>
          <w:szCs w:val="22"/>
        </w:rPr>
        <w:t xml:space="preserve"> and MBS</w:t>
      </w:r>
      <w:r w:rsidRPr="00F31B05">
        <w:rPr>
          <w:rFonts w:cs="Calibri"/>
          <w:sz w:val="22"/>
          <w:szCs w:val="22"/>
        </w:rPr>
        <w:t xml:space="preserve"> in addition to SDT, without moving to</w:t>
      </w:r>
      <w:r>
        <w:rPr>
          <w:rFonts w:cs="Calibri"/>
          <w:sz w:val="22"/>
          <w:szCs w:val="22"/>
        </w:rPr>
        <w:t xml:space="preserve"> connected state. Hence, we also think an additional BWP (for both DL and UL) could be configured for the UEs performing RA-SDT procedure.</w:t>
      </w:r>
    </w:p>
    <w:p w14:paraId="42487324" w14:textId="77777777" w:rsidR="002B4C9D" w:rsidRPr="00AB4A2D" w:rsidRDefault="002B4C9D" w:rsidP="002B4C9D">
      <w:pPr>
        <w:spacing w:before="120" w:after="120"/>
        <w:jc w:val="both"/>
        <w:rPr>
          <w:b/>
          <w:sz w:val="22"/>
          <w:szCs w:val="22"/>
        </w:rPr>
      </w:pPr>
      <w:r w:rsidRPr="00AB4A2D">
        <w:rPr>
          <w:b/>
          <w:sz w:val="22"/>
          <w:szCs w:val="22"/>
          <w:lang w:eastAsia="zh-CN"/>
        </w:rPr>
        <w:t xml:space="preserve">Observation </w:t>
      </w:r>
      <w:r>
        <w:rPr>
          <w:b/>
          <w:sz w:val="22"/>
          <w:szCs w:val="22"/>
          <w:lang w:eastAsia="zh-CN"/>
        </w:rPr>
        <w:t>1</w:t>
      </w:r>
      <w:r w:rsidRPr="00AB4A2D">
        <w:rPr>
          <w:b/>
          <w:sz w:val="22"/>
          <w:szCs w:val="22"/>
          <w:lang w:eastAsia="zh-CN"/>
        </w:rPr>
        <w:t xml:space="preserve">: </w:t>
      </w:r>
      <w:r>
        <w:rPr>
          <w:b/>
          <w:sz w:val="22"/>
          <w:szCs w:val="22"/>
        </w:rPr>
        <w:t>An additional</w:t>
      </w:r>
      <w:r w:rsidRPr="00AB4A2D">
        <w:rPr>
          <w:b/>
          <w:sz w:val="22"/>
          <w:szCs w:val="22"/>
        </w:rPr>
        <w:t xml:space="preserve"> “configurable” BWP</w:t>
      </w:r>
      <w:r>
        <w:rPr>
          <w:b/>
          <w:sz w:val="22"/>
          <w:szCs w:val="22"/>
        </w:rPr>
        <w:t xml:space="preserve"> (DL and UL)</w:t>
      </w:r>
      <w:r w:rsidRPr="00AB4A2D">
        <w:rPr>
          <w:b/>
          <w:sz w:val="22"/>
          <w:szCs w:val="22"/>
        </w:rPr>
        <w:t xml:space="preserve"> is needed</w:t>
      </w:r>
      <w:r>
        <w:rPr>
          <w:b/>
          <w:sz w:val="22"/>
          <w:szCs w:val="22"/>
        </w:rPr>
        <w:t xml:space="preserve"> i</w:t>
      </w:r>
      <w:r w:rsidRPr="00AB4A2D">
        <w:rPr>
          <w:b/>
          <w:sz w:val="22"/>
          <w:szCs w:val="22"/>
          <w:lang w:eastAsia="zh-CN"/>
        </w:rPr>
        <w:t>n order to increase the capacity of SDT and Positioning</w:t>
      </w:r>
      <w:r>
        <w:rPr>
          <w:b/>
          <w:sz w:val="22"/>
          <w:szCs w:val="22"/>
          <w:lang w:eastAsia="zh-CN"/>
        </w:rPr>
        <w:t xml:space="preserve"> </w:t>
      </w:r>
      <w:r w:rsidRPr="004645FE">
        <w:rPr>
          <w:b/>
          <w:bCs/>
          <w:color w:val="000000"/>
          <w:sz w:val="22"/>
          <w:szCs w:val="22"/>
        </w:rPr>
        <w:t xml:space="preserve">in </w:t>
      </w:r>
      <w:r w:rsidRPr="004645FE">
        <w:rPr>
          <w:b/>
          <w:bCs/>
          <w:sz w:val="22"/>
          <w:szCs w:val="22"/>
        </w:rPr>
        <w:t>INACTIVE state</w:t>
      </w:r>
      <w:r>
        <w:rPr>
          <w:b/>
          <w:sz w:val="22"/>
          <w:szCs w:val="22"/>
          <w:lang w:eastAsia="zh-CN"/>
        </w:rPr>
        <w:t>.</w:t>
      </w:r>
      <w:r w:rsidRPr="00AB4A2D">
        <w:rPr>
          <w:b/>
          <w:sz w:val="22"/>
          <w:szCs w:val="22"/>
          <w:lang w:eastAsia="zh-CN"/>
        </w:rPr>
        <w:t xml:space="preserve"> </w:t>
      </w:r>
    </w:p>
    <w:p w14:paraId="7075F701" w14:textId="77777777" w:rsidR="002B4C9D" w:rsidRDefault="002B4C9D" w:rsidP="002B4C9D">
      <w:pPr>
        <w:spacing w:before="120" w:after="120"/>
        <w:jc w:val="both"/>
        <w:rPr>
          <w:sz w:val="22"/>
          <w:szCs w:val="22"/>
        </w:rPr>
      </w:pPr>
      <w:r w:rsidRPr="00C648F6">
        <w:rPr>
          <w:rFonts w:cs="Calibri"/>
          <w:sz w:val="22"/>
          <w:szCs w:val="22"/>
        </w:rPr>
        <w:t xml:space="preserve">Even if a UE is configured with </w:t>
      </w:r>
      <w:r>
        <w:rPr>
          <w:rFonts w:cs="Calibri"/>
          <w:sz w:val="22"/>
          <w:szCs w:val="22"/>
        </w:rPr>
        <w:t xml:space="preserve">an additional </w:t>
      </w:r>
      <w:r w:rsidRPr="00C648F6">
        <w:rPr>
          <w:sz w:val="22"/>
          <w:szCs w:val="22"/>
        </w:rPr>
        <w:t>BWP, a UE should still receive</w:t>
      </w:r>
      <w:r>
        <w:rPr>
          <w:sz w:val="22"/>
          <w:szCs w:val="22"/>
        </w:rPr>
        <w:t xml:space="preserve"> some transmissions on</w:t>
      </w:r>
      <w:r w:rsidRPr="00C648F6">
        <w:rPr>
          <w:sz w:val="22"/>
          <w:szCs w:val="22"/>
        </w:rPr>
        <w:t xml:space="preserve"> the initial BWP</w:t>
      </w:r>
      <w:r>
        <w:rPr>
          <w:sz w:val="22"/>
          <w:szCs w:val="22"/>
        </w:rPr>
        <w:t xml:space="preserve"> due to monitoring of, e.g. paging, SIB1, and able to start initial access procedures. Hence, some coordination will be necessary how a UE moves between the </w:t>
      </w:r>
      <w:r w:rsidRPr="00C648F6">
        <w:rPr>
          <w:sz w:val="22"/>
          <w:szCs w:val="22"/>
        </w:rPr>
        <w:t>initial BWP</w:t>
      </w:r>
      <w:r>
        <w:rPr>
          <w:sz w:val="22"/>
          <w:szCs w:val="22"/>
        </w:rPr>
        <w:t xml:space="preserve"> and the </w:t>
      </w:r>
      <w:r>
        <w:rPr>
          <w:rFonts w:cs="Calibri"/>
          <w:sz w:val="22"/>
          <w:szCs w:val="22"/>
        </w:rPr>
        <w:t xml:space="preserve">additional </w:t>
      </w:r>
      <w:r w:rsidRPr="00C648F6">
        <w:rPr>
          <w:sz w:val="22"/>
          <w:szCs w:val="22"/>
        </w:rPr>
        <w:t xml:space="preserve">BWP associated with </w:t>
      </w:r>
      <w:r>
        <w:rPr>
          <w:sz w:val="22"/>
          <w:szCs w:val="22"/>
        </w:rPr>
        <w:t>RA-</w:t>
      </w:r>
      <w:r w:rsidRPr="00C648F6">
        <w:rPr>
          <w:sz w:val="22"/>
          <w:szCs w:val="22"/>
        </w:rPr>
        <w:t>SDT resources</w:t>
      </w:r>
      <w:r>
        <w:rPr>
          <w:sz w:val="22"/>
          <w:szCs w:val="22"/>
        </w:rPr>
        <w:t>.</w:t>
      </w:r>
    </w:p>
    <w:p w14:paraId="7891D3C7" w14:textId="77777777" w:rsidR="002B4C9D" w:rsidRPr="00863DE0" w:rsidRDefault="002B4C9D" w:rsidP="002B4C9D">
      <w:pPr>
        <w:spacing w:before="120" w:after="120"/>
        <w:jc w:val="both"/>
        <w:rPr>
          <w:rFonts w:cs="Calibri"/>
          <w:sz w:val="22"/>
          <w:szCs w:val="22"/>
        </w:rPr>
      </w:pPr>
      <w:r>
        <w:rPr>
          <w:sz w:val="22"/>
          <w:szCs w:val="22"/>
        </w:rPr>
        <w:t>Furthermore, if a UE can receive s</w:t>
      </w:r>
      <w:r w:rsidRPr="00FD1816">
        <w:rPr>
          <w:sz w:val="22"/>
          <w:szCs w:val="22"/>
        </w:rPr>
        <w:t xml:space="preserve">ome network transmissions in Idle/Inactive </w:t>
      </w:r>
      <w:r>
        <w:rPr>
          <w:sz w:val="22"/>
          <w:szCs w:val="22"/>
        </w:rPr>
        <w:t xml:space="preserve">state </w:t>
      </w:r>
      <w:r>
        <w:rPr>
          <w:rFonts w:cs="Calibri"/>
          <w:sz w:val="22"/>
          <w:szCs w:val="22"/>
        </w:rPr>
        <w:t xml:space="preserve">without moving to connected state, </w:t>
      </w:r>
      <w:r w:rsidRPr="00FD1816">
        <w:rPr>
          <w:sz w:val="22"/>
          <w:szCs w:val="22"/>
        </w:rPr>
        <w:t xml:space="preserve">such as </w:t>
      </w:r>
      <w:r w:rsidRPr="00FD1816">
        <w:rPr>
          <w:rFonts w:cs="Calibri"/>
          <w:sz w:val="22"/>
          <w:szCs w:val="22"/>
        </w:rPr>
        <w:t>Positioning</w:t>
      </w:r>
      <w:r>
        <w:rPr>
          <w:rFonts w:cs="Calibri"/>
          <w:sz w:val="22"/>
          <w:szCs w:val="22"/>
        </w:rPr>
        <w:t xml:space="preserve">, MBS and SDT, it is important to have a unified design for these different features. </w:t>
      </w:r>
      <w:r w:rsidRPr="00863DE0">
        <w:rPr>
          <w:rFonts w:cs="Calibri"/>
          <w:sz w:val="22"/>
          <w:szCs w:val="22"/>
        </w:rPr>
        <w:t>The additional BWP</w:t>
      </w:r>
      <w:r w:rsidRPr="00863DE0">
        <w:rPr>
          <w:sz w:val="22"/>
          <w:szCs w:val="22"/>
        </w:rPr>
        <w:t xml:space="preserve"> associated with </w:t>
      </w:r>
      <w:r>
        <w:rPr>
          <w:sz w:val="22"/>
          <w:szCs w:val="22"/>
        </w:rPr>
        <w:t>RA</w:t>
      </w:r>
      <w:r w:rsidRPr="00863DE0">
        <w:rPr>
          <w:sz w:val="22"/>
          <w:szCs w:val="22"/>
        </w:rPr>
        <w:t xml:space="preserve">-SDT resources </w:t>
      </w:r>
      <w:r w:rsidRPr="00863DE0">
        <w:rPr>
          <w:rFonts w:cs="Calibri"/>
          <w:sz w:val="22"/>
          <w:szCs w:val="22"/>
        </w:rPr>
        <w:t>must be a BWP that can also be used for other features such as Positioning</w:t>
      </w:r>
      <w:r>
        <w:rPr>
          <w:rFonts w:cs="Calibri"/>
          <w:sz w:val="22"/>
          <w:szCs w:val="22"/>
        </w:rPr>
        <w:t xml:space="preserve"> and MBS</w:t>
      </w:r>
      <w:r w:rsidRPr="00863DE0">
        <w:rPr>
          <w:rFonts w:cs="Calibri"/>
          <w:sz w:val="22"/>
          <w:szCs w:val="22"/>
        </w:rPr>
        <w:t>, in order to reduce the complexity and power consumption at the UE.</w:t>
      </w:r>
    </w:p>
    <w:p w14:paraId="0D766139" w14:textId="77777777" w:rsidR="002B4C9D" w:rsidRPr="0060035A" w:rsidRDefault="002B4C9D" w:rsidP="002B4C9D">
      <w:pPr>
        <w:spacing w:before="120" w:after="120"/>
        <w:jc w:val="both"/>
        <w:rPr>
          <w:rFonts w:cs="Calibri"/>
          <w:sz w:val="22"/>
          <w:szCs w:val="22"/>
        </w:rPr>
      </w:pPr>
      <w:r w:rsidRPr="0060035A">
        <w:rPr>
          <w:rFonts w:cs="Calibri"/>
          <w:sz w:val="22"/>
          <w:szCs w:val="22"/>
        </w:rPr>
        <w:t xml:space="preserve">One essential design requirement is that the additional BWP </w:t>
      </w:r>
      <w:r w:rsidRPr="0060035A">
        <w:rPr>
          <w:sz w:val="22"/>
          <w:szCs w:val="22"/>
        </w:rPr>
        <w:t xml:space="preserve">should configured in such a way that it overlaps with the initial BWP operating with the same numerology, i.e. for both DL and UL. This way, a UE can still monitor the initial BWP, e.g. paging, SIB1, and able to start initial access procedures, without switching to another BWP or without interrupting other services such as SDT, MBS and Positioning. This design </w:t>
      </w:r>
      <w:r w:rsidRPr="0060035A">
        <w:rPr>
          <w:rFonts w:cs="Calibri"/>
          <w:sz w:val="22"/>
          <w:szCs w:val="22"/>
        </w:rPr>
        <w:t>requirement</w:t>
      </w:r>
      <w:r w:rsidRPr="0060035A">
        <w:rPr>
          <w:sz w:val="22"/>
          <w:szCs w:val="22"/>
        </w:rPr>
        <w:t xml:space="preserve"> will also resolve the issue with TDD case as the additional </w:t>
      </w:r>
      <w:r w:rsidRPr="0060035A">
        <w:rPr>
          <w:rFonts w:eastAsia="SimSun"/>
          <w:sz w:val="22"/>
          <w:szCs w:val="22"/>
        </w:rPr>
        <w:t xml:space="preserve">BWP </w:t>
      </w:r>
      <w:r>
        <w:rPr>
          <w:rFonts w:eastAsia="SimSun"/>
          <w:sz w:val="22"/>
          <w:szCs w:val="22"/>
        </w:rPr>
        <w:t xml:space="preserve">overlaps (i.e. </w:t>
      </w:r>
      <w:r w:rsidRPr="0060035A">
        <w:rPr>
          <w:rFonts w:eastAsia="SimSun"/>
          <w:sz w:val="22"/>
          <w:szCs w:val="22"/>
        </w:rPr>
        <w:t>contains</w:t>
      </w:r>
      <w:r>
        <w:rPr>
          <w:rFonts w:eastAsia="SimSun"/>
          <w:sz w:val="22"/>
          <w:szCs w:val="22"/>
        </w:rPr>
        <w:t>)</w:t>
      </w:r>
      <w:r w:rsidRPr="0060035A">
        <w:rPr>
          <w:rFonts w:eastAsia="SimSun"/>
          <w:sz w:val="22"/>
          <w:szCs w:val="22"/>
        </w:rPr>
        <w:t xml:space="preserve"> the bandwidth of the initial BWP.</w:t>
      </w:r>
    </w:p>
    <w:p w14:paraId="117C78CA" w14:textId="77777777" w:rsidR="002B4C9D" w:rsidRDefault="002B4C9D" w:rsidP="002B4C9D">
      <w:pPr>
        <w:jc w:val="both"/>
        <w:rPr>
          <w:bCs/>
          <w:sz w:val="22"/>
          <w:szCs w:val="22"/>
        </w:rPr>
      </w:pPr>
      <w:r w:rsidRPr="00B91D6E">
        <w:rPr>
          <w:bCs/>
          <w:sz w:val="22"/>
          <w:szCs w:val="22"/>
        </w:rPr>
        <w:t xml:space="preserve">In order to progress the additional BWP, RAN2 should </w:t>
      </w:r>
      <w:r>
        <w:rPr>
          <w:bCs/>
          <w:sz w:val="22"/>
          <w:szCs w:val="22"/>
        </w:rPr>
        <w:t>send an LS to RAN1 to design layer 1 aspects (e.g. CORESET and search space monitoring, switching).</w:t>
      </w:r>
    </w:p>
    <w:p w14:paraId="6F328FE2" w14:textId="6A9D0AE9" w:rsidR="002B4C9D" w:rsidRPr="00353C35" w:rsidRDefault="002B4C9D" w:rsidP="002B4C9D">
      <w:pPr>
        <w:jc w:val="both"/>
        <w:rPr>
          <w:b/>
          <w:bCs/>
          <w:sz w:val="22"/>
          <w:szCs w:val="22"/>
          <w:lang w:eastAsia="zh-CN"/>
        </w:rPr>
      </w:pPr>
      <w:r w:rsidRPr="674DEA29">
        <w:rPr>
          <w:b/>
          <w:bCs/>
          <w:sz w:val="22"/>
          <w:szCs w:val="22"/>
          <w:lang w:eastAsia="zh-CN"/>
        </w:rPr>
        <w:t xml:space="preserve">Proposal </w:t>
      </w:r>
      <w:r w:rsidR="00C37275">
        <w:rPr>
          <w:b/>
          <w:bCs/>
          <w:sz w:val="22"/>
          <w:szCs w:val="22"/>
          <w:lang w:eastAsia="zh-CN"/>
        </w:rPr>
        <w:t>4</w:t>
      </w:r>
      <w:r w:rsidRPr="674DEA29">
        <w:rPr>
          <w:b/>
          <w:bCs/>
          <w:sz w:val="22"/>
          <w:szCs w:val="22"/>
          <w:lang w:eastAsia="zh-CN"/>
        </w:rPr>
        <w:t xml:space="preserve">: </w:t>
      </w:r>
      <w:r w:rsidRPr="674DEA29">
        <w:rPr>
          <w:b/>
          <w:bCs/>
          <w:sz w:val="22"/>
          <w:szCs w:val="22"/>
        </w:rPr>
        <w:t>An additional “configurable” BWP (DL and UL) should be supported for RA-SDT</w:t>
      </w:r>
    </w:p>
    <w:p w14:paraId="01C6BB47" w14:textId="77777777" w:rsidR="002B4C9D" w:rsidRPr="00353C35" w:rsidRDefault="002B4C9D" w:rsidP="002B4C9D">
      <w:pPr>
        <w:pStyle w:val="ListParagraph"/>
        <w:numPr>
          <w:ilvl w:val="0"/>
          <w:numId w:val="48"/>
        </w:numPr>
        <w:jc w:val="both"/>
        <w:rPr>
          <w:rFonts w:ascii="Times New Roman" w:hAnsi="Times New Roman"/>
          <w:b/>
        </w:rPr>
      </w:pPr>
      <w:r w:rsidRPr="00353C35">
        <w:rPr>
          <w:rFonts w:ascii="Times New Roman" w:hAnsi="Times New Roman"/>
          <w:b/>
        </w:rPr>
        <w:t>The additional BWP should overlap with the initial BWP operating with the same numerology</w:t>
      </w:r>
    </w:p>
    <w:p w14:paraId="400B551B" w14:textId="77777777" w:rsidR="002B4C9D" w:rsidRPr="00353C35" w:rsidRDefault="002B4C9D" w:rsidP="002B4C9D">
      <w:pPr>
        <w:pStyle w:val="ListParagraph"/>
        <w:numPr>
          <w:ilvl w:val="0"/>
          <w:numId w:val="48"/>
        </w:numPr>
        <w:jc w:val="both"/>
        <w:rPr>
          <w:rFonts w:ascii="Times New Roman" w:hAnsi="Times New Roman"/>
          <w:b/>
          <w:bCs/>
        </w:rPr>
      </w:pPr>
      <w:r w:rsidRPr="674DEA29">
        <w:rPr>
          <w:rFonts w:ascii="Times New Roman" w:hAnsi="Times New Roman"/>
          <w:b/>
          <w:bCs/>
        </w:rPr>
        <w:lastRenderedPageBreak/>
        <w:t>If agreed, RAN2 should send an LS to RAN1 to design layer 1 aspects (e.g. search space monitoring, switching)</w:t>
      </w:r>
      <w:r w:rsidRPr="674DEA29">
        <w:rPr>
          <w:rFonts w:ascii="Times New Roman" w:hAnsi="Times New Roman"/>
          <w:b/>
          <w:bCs/>
          <w:lang w:eastAsia="zh-CN"/>
        </w:rPr>
        <w:t xml:space="preserve"> for UEs </w:t>
      </w:r>
      <w:r w:rsidRPr="674DEA29">
        <w:rPr>
          <w:rFonts w:ascii="Times New Roman" w:hAnsi="Times New Roman"/>
          <w:b/>
          <w:bCs/>
          <w:color w:val="000000" w:themeColor="text1"/>
        </w:rPr>
        <w:t xml:space="preserve">in </w:t>
      </w:r>
      <w:r w:rsidRPr="674DEA29">
        <w:rPr>
          <w:rFonts w:ascii="Times New Roman" w:hAnsi="Times New Roman"/>
          <w:b/>
          <w:bCs/>
        </w:rPr>
        <w:t>INACTIVE state.</w:t>
      </w:r>
    </w:p>
    <w:p w14:paraId="0D0B940D" w14:textId="77777777" w:rsidR="00617990" w:rsidRDefault="00617990" w:rsidP="0078446F">
      <w:pPr>
        <w:jc w:val="both"/>
        <w:rPr>
          <w:b/>
          <w:sz w:val="22"/>
          <w:szCs w:val="22"/>
          <w:lang w:eastAsia="zh-CN"/>
        </w:rPr>
      </w:pPr>
    </w:p>
    <w:p w14:paraId="3CB7D8A9" w14:textId="77777777" w:rsidR="00A02032" w:rsidRPr="006B3A7C" w:rsidRDefault="00A02032" w:rsidP="00A02032">
      <w:pPr>
        <w:pStyle w:val="Heading2"/>
        <w:numPr>
          <w:ilvl w:val="0"/>
          <w:numId w:val="33"/>
        </w:numPr>
        <w:rPr>
          <w:rStyle w:val="B1Char"/>
          <w:b/>
          <w:sz w:val="28"/>
          <w:szCs w:val="28"/>
        </w:rPr>
      </w:pPr>
      <w:r>
        <w:rPr>
          <w:rStyle w:val="B1Char"/>
          <w:b/>
          <w:sz w:val="28"/>
          <w:szCs w:val="28"/>
        </w:rPr>
        <w:t>Conclusions</w:t>
      </w:r>
    </w:p>
    <w:p w14:paraId="02FAD36E" w14:textId="6DC1DF95" w:rsidR="007C5F58" w:rsidRDefault="007C5F58" w:rsidP="007C5F58">
      <w:pPr>
        <w:jc w:val="both"/>
        <w:rPr>
          <w:sz w:val="22"/>
          <w:szCs w:val="22"/>
        </w:rPr>
      </w:pPr>
      <w:r w:rsidRPr="007C5F58">
        <w:rPr>
          <w:sz w:val="22"/>
          <w:szCs w:val="22"/>
        </w:rPr>
        <w:t xml:space="preserve">In this contribution, we </w:t>
      </w:r>
      <w:r>
        <w:rPr>
          <w:sz w:val="22"/>
          <w:szCs w:val="22"/>
        </w:rPr>
        <w:t xml:space="preserve">have </w:t>
      </w:r>
      <w:r w:rsidRPr="007C5F58">
        <w:rPr>
          <w:sz w:val="22"/>
          <w:szCs w:val="22"/>
        </w:rPr>
        <w:t>discuss</w:t>
      </w:r>
      <w:r>
        <w:rPr>
          <w:sz w:val="22"/>
          <w:szCs w:val="22"/>
        </w:rPr>
        <w:t>ed</w:t>
      </w:r>
      <w:r w:rsidRPr="007C5F58">
        <w:rPr>
          <w:sz w:val="22"/>
          <w:szCs w:val="22"/>
        </w:rPr>
        <w:t xml:space="preserve"> some </w:t>
      </w:r>
      <w:r w:rsidRPr="007C5F58">
        <w:rPr>
          <w:color w:val="000000"/>
          <w:sz w:val="22"/>
          <w:szCs w:val="22"/>
          <w:lang w:eastAsia="zh-CN"/>
        </w:rPr>
        <w:t xml:space="preserve">aspects of small data transmissions relating to </w:t>
      </w:r>
      <w:r w:rsidRPr="007C5F58">
        <w:rPr>
          <w:sz w:val="22"/>
          <w:szCs w:val="22"/>
        </w:rPr>
        <w:t xml:space="preserve">random-access (RA) based schemes such as </w:t>
      </w:r>
      <w:r w:rsidRPr="007C5F58">
        <w:rPr>
          <w:rFonts w:eastAsia="MS Mincho"/>
          <w:sz w:val="22"/>
          <w:szCs w:val="22"/>
          <w:lang w:val="en-US"/>
        </w:rPr>
        <w:t xml:space="preserve">CORESET and Search space for SDT, RNTI for subsequent SDT, </w:t>
      </w:r>
      <w:r w:rsidRPr="007C5F58">
        <w:rPr>
          <w:rFonts w:cstheme="minorHAnsi"/>
          <w:sz w:val="22"/>
          <w:szCs w:val="22"/>
        </w:rPr>
        <w:t xml:space="preserve">RA-RNTI collision for SDT and non-SDT, and </w:t>
      </w:r>
      <w:r w:rsidRPr="007C5F58">
        <w:rPr>
          <w:sz w:val="22"/>
          <w:szCs w:val="22"/>
        </w:rPr>
        <w:t>BWP for RA-SDT.</w:t>
      </w:r>
      <w:r>
        <w:rPr>
          <w:sz w:val="22"/>
          <w:szCs w:val="22"/>
        </w:rPr>
        <w:t xml:space="preserve"> We have the following proposals:</w:t>
      </w:r>
    </w:p>
    <w:p w14:paraId="688F71FE" w14:textId="77777777" w:rsidR="009D4B5F" w:rsidRPr="00C47C79" w:rsidRDefault="009D4B5F" w:rsidP="009D4B5F">
      <w:pPr>
        <w:jc w:val="both"/>
        <w:rPr>
          <w:b/>
        </w:rPr>
      </w:pPr>
      <w:r w:rsidRPr="00C47C79">
        <w:rPr>
          <w:rFonts w:eastAsia="MS Mincho"/>
          <w:b/>
          <w:bCs/>
          <w:sz w:val="22"/>
          <w:szCs w:val="22"/>
          <w:lang w:val="en-US"/>
        </w:rPr>
        <w:t xml:space="preserve">Proposal 1: </w:t>
      </w:r>
      <w:r w:rsidRPr="00C47C79">
        <w:rPr>
          <w:b/>
          <w:bCs/>
          <w:sz w:val="22"/>
          <w:szCs w:val="22"/>
        </w:rPr>
        <w:t xml:space="preserve">After the successful completion of the random-access procedure for SDT, a UE monitors </w:t>
      </w:r>
      <w:r w:rsidRPr="00C47C79">
        <w:rPr>
          <w:b/>
          <w:sz w:val="22"/>
          <w:szCs w:val="22"/>
        </w:rPr>
        <w:t xml:space="preserve">CSS Type 1 and CORESET#0 if </w:t>
      </w:r>
      <w:r w:rsidRPr="00C47C79">
        <w:rPr>
          <w:b/>
          <w:bCs/>
          <w:i/>
          <w:iCs/>
          <w:sz w:val="22"/>
          <w:szCs w:val="22"/>
          <w:lang w:val="en-US" w:eastAsia="zh-CN"/>
        </w:rPr>
        <w:t>PDCCH-</w:t>
      </w:r>
      <w:proofErr w:type="spellStart"/>
      <w:r w:rsidRPr="00C47C79">
        <w:rPr>
          <w:b/>
          <w:bCs/>
          <w:i/>
          <w:iCs/>
          <w:sz w:val="22"/>
          <w:szCs w:val="22"/>
          <w:lang w:val="en-US" w:eastAsia="zh-CN"/>
        </w:rPr>
        <w:t>ConfigCommon</w:t>
      </w:r>
      <w:proofErr w:type="spellEnd"/>
      <w:r w:rsidRPr="00C47C79">
        <w:rPr>
          <w:b/>
          <w:sz w:val="22"/>
          <w:szCs w:val="22"/>
        </w:rPr>
        <w:t xml:space="preserve"> does not configure another common search space (CSS Type X)</w:t>
      </w:r>
      <w:r w:rsidRPr="00C47C79">
        <w:rPr>
          <w:b/>
          <w:bCs/>
          <w:i/>
          <w:iCs/>
          <w:sz w:val="22"/>
          <w:szCs w:val="22"/>
          <w:lang w:val="en-US" w:eastAsia="zh-CN"/>
        </w:rPr>
        <w:t xml:space="preserve">. </w:t>
      </w:r>
      <w:r w:rsidRPr="00C47C79">
        <w:rPr>
          <w:b/>
          <w:bCs/>
          <w:lang w:val="en-US" w:eastAsia="zh-CN"/>
        </w:rPr>
        <w:t>I</w:t>
      </w:r>
      <w:r w:rsidRPr="00C47C79">
        <w:rPr>
          <w:b/>
        </w:rPr>
        <w:t xml:space="preserve">f </w:t>
      </w:r>
      <w:r w:rsidRPr="00C47C79">
        <w:rPr>
          <w:b/>
          <w:bCs/>
          <w:i/>
          <w:iCs/>
          <w:lang w:val="en-US" w:eastAsia="zh-CN"/>
        </w:rPr>
        <w:t>PDCCH-</w:t>
      </w:r>
      <w:proofErr w:type="spellStart"/>
      <w:r w:rsidRPr="00C47C79">
        <w:rPr>
          <w:b/>
          <w:bCs/>
          <w:i/>
          <w:iCs/>
          <w:lang w:val="en-US" w:eastAsia="zh-CN"/>
        </w:rPr>
        <w:t>ConfigCommon</w:t>
      </w:r>
      <w:proofErr w:type="spellEnd"/>
      <w:r w:rsidRPr="00C47C79">
        <w:rPr>
          <w:b/>
        </w:rPr>
        <w:t xml:space="preserve"> configures another common search space (CSS Type X)</w:t>
      </w:r>
      <w:r w:rsidRPr="00C47C79">
        <w:rPr>
          <w:b/>
          <w:bCs/>
          <w:i/>
          <w:iCs/>
          <w:lang w:val="en-US" w:eastAsia="zh-CN"/>
        </w:rPr>
        <w:t xml:space="preserve">, </w:t>
      </w:r>
      <w:r w:rsidRPr="00C47C79">
        <w:rPr>
          <w:b/>
          <w:bCs/>
        </w:rPr>
        <w:t xml:space="preserve">a UE should monitor this </w:t>
      </w:r>
      <w:r w:rsidRPr="00C47C79">
        <w:rPr>
          <w:b/>
        </w:rPr>
        <w:t>CSS Type X and its associated common CORESET#Y.</w:t>
      </w:r>
    </w:p>
    <w:p w14:paraId="5B446F17" w14:textId="77777777" w:rsidR="009D4B5F" w:rsidRDefault="009D4B5F" w:rsidP="009D4B5F">
      <w:pPr>
        <w:jc w:val="both"/>
        <w:rPr>
          <w:b/>
          <w:bCs/>
          <w:sz w:val="22"/>
          <w:szCs w:val="22"/>
        </w:rPr>
      </w:pPr>
      <w:r w:rsidRPr="000D7877">
        <w:rPr>
          <w:rFonts w:eastAsia="MS Mincho"/>
          <w:b/>
          <w:bCs/>
          <w:sz w:val="22"/>
          <w:szCs w:val="22"/>
          <w:lang w:val="en-US"/>
        </w:rPr>
        <w:t xml:space="preserve">Proposal 2: </w:t>
      </w:r>
      <w:r w:rsidRPr="000D7877">
        <w:rPr>
          <w:b/>
          <w:bCs/>
          <w:sz w:val="22"/>
          <w:szCs w:val="22"/>
        </w:rPr>
        <w:t>For RA-SDT, upon successful completion of contention resolution, the UE shall monitor the SDT-RNTI</w:t>
      </w:r>
      <w:r>
        <w:rPr>
          <w:b/>
          <w:bCs/>
          <w:sz w:val="22"/>
          <w:szCs w:val="22"/>
        </w:rPr>
        <w:t xml:space="preserve"> (or </w:t>
      </w:r>
      <w:r w:rsidRPr="005F2646">
        <w:rPr>
          <w:b/>
          <w:bCs/>
          <w:sz w:val="22"/>
          <w:szCs w:val="22"/>
        </w:rPr>
        <w:t>SDT-C-RNTI</w:t>
      </w:r>
      <w:r>
        <w:rPr>
          <w:b/>
          <w:bCs/>
          <w:sz w:val="22"/>
          <w:szCs w:val="22"/>
        </w:rPr>
        <w:t>)</w:t>
      </w:r>
      <w:r w:rsidRPr="000D7877">
        <w:rPr>
          <w:b/>
          <w:bCs/>
          <w:sz w:val="22"/>
          <w:szCs w:val="22"/>
        </w:rPr>
        <w:t xml:space="preserve">. </w:t>
      </w:r>
    </w:p>
    <w:p w14:paraId="5E8549D7" w14:textId="1C6660F0" w:rsidR="009D4B5F" w:rsidRDefault="009D4B5F" w:rsidP="009D4B5F">
      <w:pPr>
        <w:jc w:val="both"/>
        <w:rPr>
          <w:b/>
          <w:bCs/>
          <w:sz w:val="22"/>
          <w:szCs w:val="22"/>
        </w:rPr>
      </w:pPr>
      <w:r w:rsidRPr="002140A4">
        <w:rPr>
          <w:rFonts w:eastAsia="MS Mincho"/>
          <w:b/>
          <w:bCs/>
          <w:sz w:val="22"/>
          <w:szCs w:val="22"/>
          <w:lang w:val="en-US"/>
        </w:rPr>
        <w:t xml:space="preserve">Proposal </w:t>
      </w:r>
      <w:r>
        <w:rPr>
          <w:rFonts w:eastAsia="MS Mincho"/>
          <w:b/>
          <w:bCs/>
          <w:sz w:val="22"/>
          <w:szCs w:val="22"/>
          <w:lang w:val="en-US"/>
        </w:rPr>
        <w:t>3</w:t>
      </w:r>
      <w:r w:rsidRPr="002140A4">
        <w:rPr>
          <w:rFonts w:eastAsia="MS Mincho"/>
          <w:b/>
          <w:bCs/>
          <w:sz w:val="22"/>
          <w:szCs w:val="22"/>
          <w:lang w:val="en-US"/>
        </w:rPr>
        <w:t xml:space="preserve">: RAN2 to discuss how to address </w:t>
      </w:r>
      <w:r w:rsidRPr="002140A4">
        <w:rPr>
          <w:b/>
          <w:bCs/>
          <w:sz w:val="22"/>
          <w:szCs w:val="22"/>
        </w:rPr>
        <w:t xml:space="preserve">the </w:t>
      </w:r>
      <w:r w:rsidRPr="002140A4">
        <w:rPr>
          <w:rFonts w:cstheme="minorHAnsi"/>
          <w:b/>
          <w:bCs/>
          <w:sz w:val="22"/>
          <w:szCs w:val="22"/>
        </w:rPr>
        <w:t xml:space="preserve">RA-RNTI collision for SDT and non-SDT when their ROs have </w:t>
      </w:r>
      <w:r w:rsidRPr="002140A4">
        <w:rPr>
          <w:b/>
          <w:bCs/>
          <w:sz w:val="22"/>
          <w:szCs w:val="22"/>
        </w:rPr>
        <w:t xml:space="preserve">the same starting OFDM symbol and the same </w:t>
      </w:r>
      <w:r w:rsidRPr="002140A4">
        <w:rPr>
          <w:rFonts w:cstheme="minorHAnsi"/>
          <w:b/>
          <w:bCs/>
          <w:sz w:val="22"/>
          <w:szCs w:val="22"/>
        </w:rPr>
        <w:t>frequency offset</w:t>
      </w:r>
      <w:r w:rsidRPr="002140A4">
        <w:rPr>
          <w:b/>
          <w:bCs/>
          <w:sz w:val="22"/>
          <w:szCs w:val="22"/>
        </w:rPr>
        <w:t xml:space="preserve"> locating on the same slot of the same active BWP.</w:t>
      </w:r>
    </w:p>
    <w:p w14:paraId="782A29A0" w14:textId="77777777" w:rsidR="009D4B5F" w:rsidRPr="00AB4A2D" w:rsidRDefault="009D4B5F" w:rsidP="009D4B5F">
      <w:pPr>
        <w:spacing w:before="120" w:after="120"/>
        <w:jc w:val="both"/>
        <w:rPr>
          <w:b/>
          <w:sz w:val="22"/>
          <w:szCs w:val="22"/>
        </w:rPr>
      </w:pPr>
      <w:r w:rsidRPr="00AB4A2D">
        <w:rPr>
          <w:b/>
          <w:sz w:val="22"/>
          <w:szCs w:val="22"/>
          <w:lang w:eastAsia="zh-CN"/>
        </w:rPr>
        <w:t xml:space="preserve">Observation </w:t>
      </w:r>
      <w:r>
        <w:rPr>
          <w:b/>
          <w:sz w:val="22"/>
          <w:szCs w:val="22"/>
          <w:lang w:eastAsia="zh-CN"/>
        </w:rPr>
        <w:t>1</w:t>
      </w:r>
      <w:r w:rsidRPr="00AB4A2D">
        <w:rPr>
          <w:b/>
          <w:sz w:val="22"/>
          <w:szCs w:val="22"/>
          <w:lang w:eastAsia="zh-CN"/>
        </w:rPr>
        <w:t xml:space="preserve">: </w:t>
      </w:r>
      <w:r>
        <w:rPr>
          <w:b/>
          <w:sz w:val="22"/>
          <w:szCs w:val="22"/>
        </w:rPr>
        <w:t>An additional</w:t>
      </w:r>
      <w:r w:rsidRPr="00AB4A2D">
        <w:rPr>
          <w:b/>
          <w:sz w:val="22"/>
          <w:szCs w:val="22"/>
        </w:rPr>
        <w:t xml:space="preserve"> “configurable” BWP</w:t>
      </w:r>
      <w:r>
        <w:rPr>
          <w:b/>
          <w:sz w:val="22"/>
          <w:szCs w:val="22"/>
        </w:rPr>
        <w:t xml:space="preserve"> (DL and UL)</w:t>
      </w:r>
      <w:r w:rsidRPr="00AB4A2D">
        <w:rPr>
          <w:b/>
          <w:sz w:val="22"/>
          <w:szCs w:val="22"/>
        </w:rPr>
        <w:t xml:space="preserve"> is needed</w:t>
      </w:r>
      <w:r>
        <w:rPr>
          <w:b/>
          <w:sz w:val="22"/>
          <w:szCs w:val="22"/>
        </w:rPr>
        <w:t xml:space="preserve"> i</w:t>
      </w:r>
      <w:r w:rsidRPr="00AB4A2D">
        <w:rPr>
          <w:b/>
          <w:sz w:val="22"/>
          <w:szCs w:val="22"/>
          <w:lang w:eastAsia="zh-CN"/>
        </w:rPr>
        <w:t>n order to increase the capacity of SDT and Positioning</w:t>
      </w:r>
      <w:r>
        <w:rPr>
          <w:b/>
          <w:sz w:val="22"/>
          <w:szCs w:val="22"/>
          <w:lang w:eastAsia="zh-CN"/>
        </w:rPr>
        <w:t xml:space="preserve"> </w:t>
      </w:r>
      <w:r w:rsidRPr="004645FE">
        <w:rPr>
          <w:b/>
          <w:bCs/>
          <w:color w:val="000000"/>
          <w:sz w:val="22"/>
          <w:szCs w:val="22"/>
        </w:rPr>
        <w:t xml:space="preserve">in </w:t>
      </w:r>
      <w:r w:rsidRPr="004645FE">
        <w:rPr>
          <w:b/>
          <w:bCs/>
          <w:sz w:val="22"/>
          <w:szCs w:val="22"/>
        </w:rPr>
        <w:t>INACTIVE state</w:t>
      </w:r>
      <w:r>
        <w:rPr>
          <w:b/>
          <w:sz w:val="22"/>
          <w:szCs w:val="22"/>
          <w:lang w:eastAsia="zh-CN"/>
        </w:rPr>
        <w:t>.</w:t>
      </w:r>
      <w:r w:rsidRPr="00AB4A2D">
        <w:rPr>
          <w:b/>
          <w:sz w:val="22"/>
          <w:szCs w:val="22"/>
          <w:lang w:eastAsia="zh-CN"/>
        </w:rPr>
        <w:t xml:space="preserve"> </w:t>
      </w:r>
    </w:p>
    <w:p w14:paraId="382F37D7" w14:textId="77777777" w:rsidR="009D4B5F" w:rsidRPr="00353C35" w:rsidRDefault="009D4B5F" w:rsidP="009D4B5F">
      <w:pPr>
        <w:jc w:val="both"/>
        <w:rPr>
          <w:b/>
          <w:bCs/>
          <w:sz w:val="22"/>
          <w:szCs w:val="22"/>
          <w:lang w:eastAsia="zh-CN"/>
        </w:rPr>
      </w:pPr>
      <w:r w:rsidRPr="674DEA29">
        <w:rPr>
          <w:b/>
          <w:bCs/>
          <w:sz w:val="22"/>
          <w:szCs w:val="22"/>
          <w:lang w:eastAsia="zh-CN"/>
        </w:rPr>
        <w:t xml:space="preserve">Proposal </w:t>
      </w:r>
      <w:r>
        <w:rPr>
          <w:b/>
          <w:bCs/>
          <w:sz w:val="22"/>
          <w:szCs w:val="22"/>
          <w:lang w:eastAsia="zh-CN"/>
        </w:rPr>
        <w:t>4</w:t>
      </w:r>
      <w:r w:rsidRPr="674DEA29">
        <w:rPr>
          <w:b/>
          <w:bCs/>
          <w:sz w:val="22"/>
          <w:szCs w:val="22"/>
          <w:lang w:eastAsia="zh-CN"/>
        </w:rPr>
        <w:t xml:space="preserve">: </w:t>
      </w:r>
      <w:r w:rsidRPr="674DEA29">
        <w:rPr>
          <w:b/>
          <w:bCs/>
          <w:sz w:val="22"/>
          <w:szCs w:val="22"/>
        </w:rPr>
        <w:t>An additional “configurable” BWP (DL and UL) should be supported for RA-SDT</w:t>
      </w:r>
    </w:p>
    <w:p w14:paraId="067DFC77" w14:textId="77777777" w:rsidR="009D4B5F" w:rsidRPr="00353C35" w:rsidRDefault="009D4B5F" w:rsidP="009D4B5F">
      <w:pPr>
        <w:pStyle w:val="ListParagraph"/>
        <w:numPr>
          <w:ilvl w:val="0"/>
          <w:numId w:val="48"/>
        </w:numPr>
        <w:jc w:val="both"/>
        <w:rPr>
          <w:rFonts w:ascii="Times New Roman" w:hAnsi="Times New Roman"/>
          <w:b/>
        </w:rPr>
      </w:pPr>
      <w:r w:rsidRPr="00353C35">
        <w:rPr>
          <w:rFonts w:ascii="Times New Roman" w:hAnsi="Times New Roman"/>
          <w:b/>
        </w:rPr>
        <w:t>The additional BWP should overlap with the initial BWP operating with the same numerology</w:t>
      </w:r>
    </w:p>
    <w:p w14:paraId="2A4B0E0A" w14:textId="77777777" w:rsidR="009D4B5F" w:rsidRPr="00353C35" w:rsidRDefault="009D4B5F" w:rsidP="009D4B5F">
      <w:pPr>
        <w:pStyle w:val="ListParagraph"/>
        <w:numPr>
          <w:ilvl w:val="0"/>
          <w:numId w:val="48"/>
        </w:numPr>
        <w:jc w:val="both"/>
        <w:rPr>
          <w:rFonts w:ascii="Times New Roman" w:hAnsi="Times New Roman"/>
          <w:b/>
          <w:bCs/>
        </w:rPr>
      </w:pPr>
      <w:r w:rsidRPr="674DEA29">
        <w:rPr>
          <w:rFonts w:ascii="Times New Roman" w:hAnsi="Times New Roman"/>
          <w:b/>
          <w:bCs/>
        </w:rPr>
        <w:t>If agreed, RAN2 should send an LS to RAN1 to design layer 1 aspects (e.g. search space monitoring, switching)</w:t>
      </w:r>
      <w:r w:rsidRPr="674DEA29">
        <w:rPr>
          <w:rFonts w:ascii="Times New Roman" w:hAnsi="Times New Roman"/>
          <w:b/>
          <w:bCs/>
          <w:lang w:eastAsia="zh-CN"/>
        </w:rPr>
        <w:t xml:space="preserve"> for UEs </w:t>
      </w:r>
      <w:r w:rsidRPr="674DEA29">
        <w:rPr>
          <w:rFonts w:ascii="Times New Roman" w:hAnsi="Times New Roman"/>
          <w:b/>
          <w:bCs/>
          <w:color w:val="000000" w:themeColor="text1"/>
        </w:rPr>
        <w:t xml:space="preserve">in </w:t>
      </w:r>
      <w:r w:rsidRPr="674DEA29">
        <w:rPr>
          <w:rFonts w:ascii="Times New Roman" w:hAnsi="Times New Roman"/>
          <w:b/>
          <w:bCs/>
        </w:rPr>
        <w:t>INACTIVE state.</w:t>
      </w:r>
    </w:p>
    <w:p w14:paraId="41AB590E" w14:textId="658446B9" w:rsidR="007C5F58" w:rsidRDefault="007C5F58" w:rsidP="007C5F58">
      <w:pPr>
        <w:jc w:val="both"/>
        <w:rPr>
          <w:sz w:val="22"/>
          <w:szCs w:val="22"/>
        </w:rPr>
      </w:pPr>
    </w:p>
    <w:p w14:paraId="459C7026" w14:textId="74747B07" w:rsidR="00A02032" w:rsidRPr="006B3A7C" w:rsidRDefault="00A02032" w:rsidP="00A02032">
      <w:pPr>
        <w:pStyle w:val="Heading2"/>
        <w:numPr>
          <w:ilvl w:val="0"/>
          <w:numId w:val="33"/>
        </w:numPr>
        <w:rPr>
          <w:rStyle w:val="B1Char"/>
          <w:b/>
          <w:sz w:val="28"/>
          <w:szCs w:val="28"/>
        </w:rPr>
      </w:pPr>
      <w:r>
        <w:rPr>
          <w:rStyle w:val="B1Char"/>
          <w:b/>
          <w:sz w:val="28"/>
          <w:szCs w:val="28"/>
        </w:rPr>
        <w:t xml:space="preserve">References </w:t>
      </w:r>
    </w:p>
    <w:p w14:paraId="23D2140E" w14:textId="77777777" w:rsidR="002D400C" w:rsidRDefault="002D400C" w:rsidP="002D400C">
      <w:pPr>
        <w:rPr>
          <w:rFonts w:eastAsia="Batang"/>
          <w:lang w:eastAsia="zh-CN"/>
        </w:rPr>
      </w:pPr>
      <w:r w:rsidRPr="00CF1850">
        <w:t xml:space="preserve">[1] </w:t>
      </w:r>
      <w:r w:rsidR="007061E9" w:rsidRPr="007061E9">
        <w:rPr>
          <w:noProof/>
        </w:rPr>
        <w:t>RP-201305</w:t>
      </w:r>
      <w:r w:rsidRPr="00CF1850">
        <w:rPr>
          <w:noProof/>
        </w:rPr>
        <w:t>, “</w:t>
      </w:r>
      <w:r w:rsidR="007061E9">
        <w:rPr>
          <w:rFonts w:eastAsia="Batang" w:cs="Arial"/>
          <w:lang w:eastAsia="zh-CN"/>
        </w:rPr>
        <w:t>Updated</w:t>
      </w:r>
      <w:r w:rsidR="007061E9" w:rsidRPr="00F86FBE">
        <w:rPr>
          <w:rFonts w:eastAsia="Batang" w:cs="Arial"/>
          <w:lang w:eastAsia="zh-CN"/>
        </w:rPr>
        <w:t xml:space="preserve"> Work Item on NR small data transmissions in INACTIVE state</w:t>
      </w:r>
      <w:r w:rsidRPr="00CF1850">
        <w:rPr>
          <w:rFonts w:eastAsia="Batang"/>
          <w:lang w:eastAsia="zh-CN"/>
        </w:rPr>
        <w:t>”, RAN#8</w:t>
      </w:r>
      <w:r w:rsidR="007061E9">
        <w:rPr>
          <w:rFonts w:eastAsia="Batang"/>
          <w:lang w:eastAsia="zh-CN"/>
        </w:rPr>
        <w:t>8e.</w:t>
      </w:r>
    </w:p>
    <w:p w14:paraId="67CDE179" w14:textId="1036D859" w:rsidR="005A632F" w:rsidRDefault="005A632F" w:rsidP="002D400C">
      <w:pPr>
        <w:rPr>
          <w:rFonts w:eastAsia="Batang"/>
          <w:lang w:eastAsia="zh-CN"/>
        </w:rPr>
      </w:pPr>
      <w:r>
        <w:rPr>
          <w:rFonts w:eastAsia="Batang"/>
          <w:lang w:eastAsia="zh-CN"/>
        </w:rPr>
        <w:t>[2] TS 38.</w:t>
      </w:r>
      <w:r w:rsidR="0029676B">
        <w:rPr>
          <w:rFonts w:eastAsia="Batang"/>
          <w:lang w:eastAsia="zh-CN"/>
        </w:rPr>
        <w:t>321 V16.1.0</w:t>
      </w:r>
    </w:p>
    <w:p w14:paraId="19B5D385" w14:textId="77777777" w:rsidR="0003571B" w:rsidRDefault="0003571B" w:rsidP="0003571B">
      <w:pPr>
        <w:rPr>
          <w:rFonts w:eastAsia="SimSun" w:cs="Arial"/>
          <w:bCs/>
          <w:szCs w:val="24"/>
          <w:lang w:eastAsia="en-US"/>
        </w:rPr>
      </w:pPr>
      <w:r>
        <w:rPr>
          <w:rFonts w:eastAsia="Batang"/>
          <w:lang w:eastAsia="zh-CN"/>
        </w:rPr>
        <w:t xml:space="preserve">[3] </w:t>
      </w:r>
      <w:r w:rsidRPr="006A353E">
        <w:rPr>
          <w:rFonts w:eastAsia="Batang"/>
          <w:lang w:eastAsia="zh-CN"/>
        </w:rPr>
        <w:t>R2-2103533</w:t>
      </w:r>
      <w:r>
        <w:rPr>
          <w:rFonts w:eastAsia="Batang"/>
          <w:lang w:eastAsia="zh-CN"/>
        </w:rPr>
        <w:t xml:space="preserve">, </w:t>
      </w:r>
      <w:r w:rsidRPr="00C362AC">
        <w:rPr>
          <w:rFonts w:eastAsia="SimSun" w:cs="Arial"/>
          <w:bCs/>
          <w:szCs w:val="24"/>
          <w:lang w:eastAsia="en-US"/>
        </w:rPr>
        <w:t>Report from [POST113-e][504][SDT] CG open issues</w:t>
      </w:r>
    </w:p>
    <w:p w14:paraId="6F804664" w14:textId="77777777" w:rsidR="0003571B" w:rsidRPr="00C362AC" w:rsidRDefault="0003571B" w:rsidP="0003571B">
      <w:pPr>
        <w:rPr>
          <w:rFonts w:eastAsia="SimSun" w:cs="Arial"/>
          <w:bCs/>
          <w:szCs w:val="24"/>
          <w:lang w:eastAsia="en-US"/>
        </w:rPr>
      </w:pPr>
    </w:p>
    <w:p w14:paraId="23168B53" w14:textId="77777777" w:rsidR="0003571B" w:rsidRDefault="0003571B" w:rsidP="002D400C">
      <w:pPr>
        <w:rPr>
          <w:rFonts w:eastAsia="Batang"/>
          <w:lang w:eastAsia="zh-CN"/>
        </w:rPr>
      </w:pPr>
    </w:p>
    <w:sectPr w:rsidR="0003571B" w:rsidSect="00167E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D5F1" w16cex:dateUtc="2021-05-10T14:20:00Z"/>
  <w16cex:commentExtensible w16cex:durableId="1850CC0F" w16cex:dateUtc="2021-05-10T14:17:00Z"/>
  <w16cex:commentExtensible w16cex:durableId="2443CEE1" w16cex:dateUtc="2021-05-10T14: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FBD71" w14:textId="77777777" w:rsidR="000117AA" w:rsidRDefault="000117AA">
      <w:r>
        <w:separator/>
      </w:r>
    </w:p>
  </w:endnote>
  <w:endnote w:type="continuationSeparator" w:id="0">
    <w:p w14:paraId="6884F8F2" w14:textId="77777777" w:rsidR="000117AA" w:rsidRDefault="000117AA">
      <w:r>
        <w:continuationSeparator/>
      </w:r>
    </w:p>
  </w:endnote>
  <w:endnote w:type="continuationNotice" w:id="1">
    <w:p w14:paraId="0B2CAF03" w14:textId="77777777" w:rsidR="000117AA" w:rsidRDefault="00011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Meiryo">
    <w:charset w:val="80"/>
    <w:family w:val="swiss"/>
    <w:pitch w:val="variable"/>
    <w:sig w:usb0="E00002FF" w:usb1="6AC7FFFF"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EC173" w14:textId="77777777" w:rsidR="000117AA" w:rsidRDefault="000117AA">
      <w:r>
        <w:separator/>
      </w:r>
    </w:p>
  </w:footnote>
  <w:footnote w:type="continuationSeparator" w:id="0">
    <w:p w14:paraId="00C2CA2F" w14:textId="77777777" w:rsidR="000117AA" w:rsidRDefault="000117AA">
      <w:r>
        <w:continuationSeparator/>
      </w:r>
    </w:p>
  </w:footnote>
  <w:footnote w:type="continuationNotice" w:id="1">
    <w:p w14:paraId="7AA374C7" w14:textId="77777777" w:rsidR="000117AA" w:rsidRDefault="000117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B36DC"/>
    <w:multiLevelType w:val="hybridMultilevel"/>
    <w:tmpl w:val="93C69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C4CD5"/>
    <w:multiLevelType w:val="multilevel"/>
    <w:tmpl w:val="9D5A0FF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0AB6203F"/>
    <w:multiLevelType w:val="hybridMultilevel"/>
    <w:tmpl w:val="1236018C"/>
    <w:lvl w:ilvl="0" w:tplc="9CC24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2B541A"/>
    <w:multiLevelType w:val="hybridMultilevel"/>
    <w:tmpl w:val="52C0088A"/>
    <w:lvl w:ilvl="0" w:tplc="FB7A09CA">
      <w:start w:val="1"/>
      <w:numFmt w:val="bullet"/>
      <w:lvlText w:val=""/>
      <w:lvlJc w:val="left"/>
      <w:pPr>
        <w:tabs>
          <w:tab w:val="num" w:pos="720"/>
        </w:tabs>
        <w:ind w:left="720" w:hanging="360"/>
      </w:pPr>
      <w:rPr>
        <w:rFonts w:ascii="Wingdings" w:hAnsi="Wingdings" w:hint="default"/>
      </w:rPr>
    </w:lvl>
    <w:lvl w:ilvl="1" w:tplc="FF1A1F5A">
      <w:start w:val="1"/>
      <w:numFmt w:val="bullet"/>
      <w:lvlText w:val=""/>
      <w:lvlJc w:val="left"/>
      <w:pPr>
        <w:tabs>
          <w:tab w:val="num" w:pos="1440"/>
        </w:tabs>
        <w:ind w:left="1440" w:hanging="360"/>
      </w:pPr>
      <w:rPr>
        <w:rFonts w:ascii="Wingdings" w:hAnsi="Wingdings" w:hint="default"/>
      </w:rPr>
    </w:lvl>
    <w:lvl w:ilvl="2" w:tplc="2280DF30">
      <w:start w:val="306"/>
      <w:numFmt w:val="bullet"/>
      <w:lvlText w:val="•"/>
      <w:lvlJc w:val="left"/>
      <w:pPr>
        <w:tabs>
          <w:tab w:val="num" w:pos="2160"/>
        </w:tabs>
        <w:ind w:left="2160" w:hanging="360"/>
      </w:pPr>
      <w:rPr>
        <w:rFonts w:ascii="Arial" w:hAnsi="Arial" w:hint="default"/>
      </w:rPr>
    </w:lvl>
    <w:lvl w:ilvl="3" w:tplc="C93EF73A">
      <w:start w:val="306"/>
      <w:numFmt w:val="bullet"/>
      <w:lvlText w:val="o"/>
      <w:lvlJc w:val="left"/>
      <w:pPr>
        <w:tabs>
          <w:tab w:val="num" w:pos="2880"/>
        </w:tabs>
        <w:ind w:left="2880" w:hanging="360"/>
      </w:pPr>
      <w:rPr>
        <w:rFonts w:ascii="Courier New" w:hAnsi="Courier New" w:hint="default"/>
      </w:rPr>
    </w:lvl>
    <w:lvl w:ilvl="4" w:tplc="2BACC772" w:tentative="1">
      <w:start w:val="1"/>
      <w:numFmt w:val="bullet"/>
      <w:lvlText w:val=""/>
      <w:lvlJc w:val="left"/>
      <w:pPr>
        <w:tabs>
          <w:tab w:val="num" w:pos="3600"/>
        </w:tabs>
        <w:ind w:left="3600" w:hanging="360"/>
      </w:pPr>
      <w:rPr>
        <w:rFonts w:ascii="Wingdings" w:hAnsi="Wingdings" w:hint="default"/>
      </w:rPr>
    </w:lvl>
    <w:lvl w:ilvl="5" w:tplc="0854F320" w:tentative="1">
      <w:start w:val="1"/>
      <w:numFmt w:val="bullet"/>
      <w:lvlText w:val=""/>
      <w:lvlJc w:val="left"/>
      <w:pPr>
        <w:tabs>
          <w:tab w:val="num" w:pos="4320"/>
        </w:tabs>
        <w:ind w:left="4320" w:hanging="360"/>
      </w:pPr>
      <w:rPr>
        <w:rFonts w:ascii="Wingdings" w:hAnsi="Wingdings" w:hint="default"/>
      </w:rPr>
    </w:lvl>
    <w:lvl w:ilvl="6" w:tplc="97E25A1C" w:tentative="1">
      <w:start w:val="1"/>
      <w:numFmt w:val="bullet"/>
      <w:lvlText w:val=""/>
      <w:lvlJc w:val="left"/>
      <w:pPr>
        <w:tabs>
          <w:tab w:val="num" w:pos="5040"/>
        </w:tabs>
        <w:ind w:left="5040" w:hanging="360"/>
      </w:pPr>
      <w:rPr>
        <w:rFonts w:ascii="Wingdings" w:hAnsi="Wingdings" w:hint="default"/>
      </w:rPr>
    </w:lvl>
    <w:lvl w:ilvl="7" w:tplc="7DE071DC" w:tentative="1">
      <w:start w:val="1"/>
      <w:numFmt w:val="bullet"/>
      <w:lvlText w:val=""/>
      <w:lvlJc w:val="left"/>
      <w:pPr>
        <w:tabs>
          <w:tab w:val="num" w:pos="5760"/>
        </w:tabs>
        <w:ind w:left="5760" w:hanging="360"/>
      </w:pPr>
      <w:rPr>
        <w:rFonts w:ascii="Wingdings" w:hAnsi="Wingdings" w:hint="default"/>
      </w:rPr>
    </w:lvl>
    <w:lvl w:ilvl="8" w:tplc="8BC8E2C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F17C2"/>
    <w:multiLevelType w:val="hybridMultilevel"/>
    <w:tmpl w:val="2D02EE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726782"/>
    <w:multiLevelType w:val="hybridMultilevel"/>
    <w:tmpl w:val="19726782"/>
    <w:lvl w:ilvl="0" w:tplc="E8303AB6">
      <w:start w:val="3"/>
      <w:numFmt w:val="bullet"/>
      <w:lvlText w:val="-"/>
      <w:lvlJc w:val="left"/>
      <w:pPr>
        <w:ind w:left="720" w:hanging="360"/>
      </w:pPr>
      <w:rPr>
        <w:rFonts w:ascii="Times New Roman" w:eastAsia="SimSun" w:hAnsi="Times New Roman" w:cs="Times New Roman" w:hint="default"/>
      </w:rPr>
    </w:lvl>
    <w:lvl w:ilvl="1" w:tplc="BF824DCA">
      <w:start w:val="1"/>
      <w:numFmt w:val="bullet"/>
      <w:lvlText w:val="o"/>
      <w:lvlJc w:val="left"/>
      <w:pPr>
        <w:ind w:left="1440" w:hanging="360"/>
      </w:pPr>
      <w:rPr>
        <w:rFonts w:ascii="Courier New" w:hAnsi="Courier New" w:cs="Courier New" w:hint="default"/>
      </w:rPr>
    </w:lvl>
    <w:lvl w:ilvl="2" w:tplc="C2688270">
      <w:start w:val="1"/>
      <w:numFmt w:val="bullet"/>
      <w:lvlText w:val=""/>
      <w:lvlJc w:val="left"/>
      <w:pPr>
        <w:ind w:left="2160" w:hanging="360"/>
      </w:pPr>
      <w:rPr>
        <w:rFonts w:ascii="Wingdings" w:hAnsi="Wingdings" w:hint="default"/>
      </w:rPr>
    </w:lvl>
    <w:lvl w:ilvl="3" w:tplc="7F9E62EC">
      <w:start w:val="1"/>
      <w:numFmt w:val="bullet"/>
      <w:lvlText w:val=""/>
      <w:lvlJc w:val="left"/>
      <w:pPr>
        <w:ind w:left="2880" w:hanging="360"/>
      </w:pPr>
      <w:rPr>
        <w:rFonts w:ascii="Symbol" w:hAnsi="Symbol" w:hint="default"/>
      </w:rPr>
    </w:lvl>
    <w:lvl w:ilvl="4" w:tplc="86D652C0">
      <w:start w:val="1"/>
      <w:numFmt w:val="bullet"/>
      <w:lvlText w:val="o"/>
      <w:lvlJc w:val="left"/>
      <w:pPr>
        <w:ind w:left="3600" w:hanging="360"/>
      </w:pPr>
      <w:rPr>
        <w:rFonts w:ascii="Courier New" w:hAnsi="Courier New" w:cs="Courier New" w:hint="default"/>
      </w:rPr>
    </w:lvl>
    <w:lvl w:ilvl="5" w:tplc="2488EA88">
      <w:start w:val="1"/>
      <w:numFmt w:val="bullet"/>
      <w:lvlText w:val=""/>
      <w:lvlJc w:val="left"/>
      <w:pPr>
        <w:ind w:left="4320" w:hanging="360"/>
      </w:pPr>
      <w:rPr>
        <w:rFonts w:ascii="Wingdings" w:hAnsi="Wingdings" w:hint="default"/>
      </w:rPr>
    </w:lvl>
    <w:lvl w:ilvl="6" w:tplc="280811CE">
      <w:start w:val="1"/>
      <w:numFmt w:val="bullet"/>
      <w:lvlText w:val=""/>
      <w:lvlJc w:val="left"/>
      <w:pPr>
        <w:ind w:left="5040" w:hanging="360"/>
      </w:pPr>
      <w:rPr>
        <w:rFonts w:ascii="Symbol" w:hAnsi="Symbol" w:hint="default"/>
      </w:rPr>
    </w:lvl>
    <w:lvl w:ilvl="7" w:tplc="5866A76C">
      <w:start w:val="1"/>
      <w:numFmt w:val="bullet"/>
      <w:lvlText w:val="o"/>
      <w:lvlJc w:val="left"/>
      <w:pPr>
        <w:ind w:left="5760" w:hanging="360"/>
      </w:pPr>
      <w:rPr>
        <w:rFonts w:ascii="Courier New" w:hAnsi="Courier New" w:cs="Courier New" w:hint="default"/>
      </w:rPr>
    </w:lvl>
    <w:lvl w:ilvl="8" w:tplc="69BE3FB8">
      <w:start w:val="1"/>
      <w:numFmt w:val="bullet"/>
      <w:lvlText w:val=""/>
      <w:lvlJc w:val="left"/>
      <w:pPr>
        <w:ind w:left="6480" w:hanging="360"/>
      </w:pPr>
      <w:rPr>
        <w:rFonts w:ascii="Wingdings" w:hAnsi="Wingdings" w:hint="default"/>
      </w:rPr>
    </w:lvl>
  </w:abstractNum>
  <w:abstractNum w:abstractNumId="7" w15:restartNumberingAfterBreak="0">
    <w:nsid w:val="19D37960"/>
    <w:multiLevelType w:val="hybridMultilevel"/>
    <w:tmpl w:val="571646BA"/>
    <w:lvl w:ilvl="0" w:tplc="CE7AA8E2">
      <w:start w:val="1"/>
      <w:numFmt w:val="decimal"/>
      <w:lvlText w:val="%1)"/>
      <w:lvlJc w:val="left"/>
      <w:pPr>
        <w:tabs>
          <w:tab w:val="num" w:pos="720"/>
        </w:tabs>
        <w:ind w:left="720" w:hanging="360"/>
      </w:pPr>
    </w:lvl>
    <w:lvl w:ilvl="1" w:tplc="63C040F2">
      <w:numFmt w:val="bullet"/>
      <w:lvlText w:val="•"/>
      <w:lvlJc w:val="left"/>
      <w:pPr>
        <w:tabs>
          <w:tab w:val="num" w:pos="1440"/>
        </w:tabs>
        <w:ind w:left="1440" w:hanging="360"/>
      </w:pPr>
      <w:rPr>
        <w:rFonts w:ascii="Arial" w:hAnsi="Arial" w:hint="default"/>
      </w:rPr>
    </w:lvl>
    <w:lvl w:ilvl="2" w:tplc="E56E3674" w:tentative="1">
      <w:start w:val="1"/>
      <w:numFmt w:val="decimal"/>
      <w:lvlText w:val="%3)"/>
      <w:lvlJc w:val="left"/>
      <w:pPr>
        <w:tabs>
          <w:tab w:val="num" w:pos="2160"/>
        </w:tabs>
        <w:ind w:left="2160" w:hanging="360"/>
      </w:pPr>
    </w:lvl>
    <w:lvl w:ilvl="3" w:tplc="5D0E4F1E" w:tentative="1">
      <w:start w:val="1"/>
      <w:numFmt w:val="decimal"/>
      <w:lvlText w:val="%4)"/>
      <w:lvlJc w:val="left"/>
      <w:pPr>
        <w:tabs>
          <w:tab w:val="num" w:pos="2880"/>
        </w:tabs>
        <w:ind w:left="2880" w:hanging="360"/>
      </w:pPr>
    </w:lvl>
    <w:lvl w:ilvl="4" w:tplc="8556ABEA" w:tentative="1">
      <w:start w:val="1"/>
      <w:numFmt w:val="decimal"/>
      <w:lvlText w:val="%5)"/>
      <w:lvlJc w:val="left"/>
      <w:pPr>
        <w:tabs>
          <w:tab w:val="num" w:pos="3600"/>
        </w:tabs>
        <w:ind w:left="3600" w:hanging="360"/>
      </w:pPr>
    </w:lvl>
    <w:lvl w:ilvl="5" w:tplc="DB1ED026" w:tentative="1">
      <w:start w:val="1"/>
      <w:numFmt w:val="decimal"/>
      <w:lvlText w:val="%6)"/>
      <w:lvlJc w:val="left"/>
      <w:pPr>
        <w:tabs>
          <w:tab w:val="num" w:pos="4320"/>
        </w:tabs>
        <w:ind w:left="4320" w:hanging="360"/>
      </w:pPr>
    </w:lvl>
    <w:lvl w:ilvl="6" w:tplc="E94EEFB0" w:tentative="1">
      <w:start w:val="1"/>
      <w:numFmt w:val="decimal"/>
      <w:lvlText w:val="%7)"/>
      <w:lvlJc w:val="left"/>
      <w:pPr>
        <w:tabs>
          <w:tab w:val="num" w:pos="5040"/>
        </w:tabs>
        <w:ind w:left="5040" w:hanging="360"/>
      </w:pPr>
    </w:lvl>
    <w:lvl w:ilvl="7" w:tplc="DED669DC" w:tentative="1">
      <w:start w:val="1"/>
      <w:numFmt w:val="decimal"/>
      <w:lvlText w:val="%8)"/>
      <w:lvlJc w:val="left"/>
      <w:pPr>
        <w:tabs>
          <w:tab w:val="num" w:pos="5760"/>
        </w:tabs>
        <w:ind w:left="5760" w:hanging="360"/>
      </w:pPr>
    </w:lvl>
    <w:lvl w:ilvl="8" w:tplc="8DC8A852" w:tentative="1">
      <w:start w:val="1"/>
      <w:numFmt w:val="decimal"/>
      <w:lvlText w:val="%9)"/>
      <w:lvlJc w:val="left"/>
      <w:pPr>
        <w:tabs>
          <w:tab w:val="num" w:pos="6480"/>
        </w:tabs>
        <w:ind w:left="6480" w:hanging="360"/>
      </w:pPr>
    </w:lvl>
  </w:abstractNum>
  <w:abstractNum w:abstractNumId="8" w15:restartNumberingAfterBreak="0">
    <w:nsid w:val="20F877B8"/>
    <w:multiLevelType w:val="hybridMultilevel"/>
    <w:tmpl w:val="20F877B8"/>
    <w:lvl w:ilvl="0" w:tplc="72C68EC0">
      <w:start w:val="1"/>
      <w:numFmt w:val="decimal"/>
      <w:lvlText w:val="%1."/>
      <w:lvlJc w:val="left"/>
      <w:pPr>
        <w:ind w:left="720" w:hanging="360"/>
      </w:pPr>
      <w:rPr>
        <w:rFonts w:hint="default"/>
      </w:rPr>
    </w:lvl>
    <w:lvl w:ilvl="1" w:tplc="E09C8402">
      <w:start w:val="1"/>
      <w:numFmt w:val="lowerLetter"/>
      <w:lvlText w:val="%2."/>
      <w:lvlJc w:val="left"/>
      <w:pPr>
        <w:ind w:left="1440" w:hanging="360"/>
      </w:pPr>
    </w:lvl>
    <w:lvl w:ilvl="2" w:tplc="DAB28D74">
      <w:start w:val="1"/>
      <w:numFmt w:val="lowerRoman"/>
      <w:lvlText w:val="%3."/>
      <w:lvlJc w:val="right"/>
      <w:pPr>
        <w:ind w:left="2160" w:hanging="180"/>
      </w:pPr>
    </w:lvl>
    <w:lvl w:ilvl="3" w:tplc="0AC238B2">
      <w:start w:val="1"/>
      <w:numFmt w:val="decimal"/>
      <w:lvlText w:val="%4."/>
      <w:lvlJc w:val="left"/>
      <w:pPr>
        <w:ind w:left="2880" w:hanging="360"/>
      </w:pPr>
    </w:lvl>
    <w:lvl w:ilvl="4" w:tplc="8D767638">
      <w:start w:val="1"/>
      <w:numFmt w:val="lowerLetter"/>
      <w:lvlText w:val="%5."/>
      <w:lvlJc w:val="left"/>
      <w:pPr>
        <w:ind w:left="3600" w:hanging="360"/>
      </w:pPr>
    </w:lvl>
    <w:lvl w:ilvl="5" w:tplc="AF76BD8E">
      <w:start w:val="1"/>
      <w:numFmt w:val="lowerRoman"/>
      <w:lvlText w:val="%6."/>
      <w:lvlJc w:val="right"/>
      <w:pPr>
        <w:ind w:left="4320" w:hanging="180"/>
      </w:pPr>
    </w:lvl>
    <w:lvl w:ilvl="6" w:tplc="7A2ED9B0">
      <w:start w:val="1"/>
      <w:numFmt w:val="decimal"/>
      <w:lvlText w:val="%7."/>
      <w:lvlJc w:val="left"/>
      <w:pPr>
        <w:ind w:left="5040" w:hanging="360"/>
      </w:pPr>
    </w:lvl>
    <w:lvl w:ilvl="7" w:tplc="ED94CFC2">
      <w:start w:val="1"/>
      <w:numFmt w:val="lowerLetter"/>
      <w:lvlText w:val="%8."/>
      <w:lvlJc w:val="left"/>
      <w:pPr>
        <w:ind w:left="5760" w:hanging="360"/>
      </w:pPr>
    </w:lvl>
    <w:lvl w:ilvl="8" w:tplc="CF661EE0">
      <w:start w:val="1"/>
      <w:numFmt w:val="lowerRoman"/>
      <w:lvlText w:val="%9."/>
      <w:lvlJc w:val="right"/>
      <w:pPr>
        <w:ind w:left="6480" w:hanging="180"/>
      </w:pPr>
    </w:lvl>
  </w:abstractNum>
  <w:abstractNum w:abstractNumId="9" w15:restartNumberingAfterBreak="0">
    <w:nsid w:val="215B6A3A"/>
    <w:multiLevelType w:val="hybridMultilevel"/>
    <w:tmpl w:val="2314FF78"/>
    <w:lvl w:ilvl="0" w:tplc="08090001">
      <w:start w:val="1"/>
      <w:numFmt w:val="bullet"/>
      <w:lvlText w:val=""/>
      <w:lvlJc w:val="left"/>
      <w:pPr>
        <w:tabs>
          <w:tab w:val="num" w:pos="644"/>
        </w:tabs>
        <w:ind w:left="644" w:hanging="360"/>
      </w:pPr>
      <w:rPr>
        <w:rFonts w:ascii="Symbol" w:hAnsi="Symbol" w:hint="default"/>
        <w:b/>
        <w:i w:val="0"/>
        <w:color w:val="auto"/>
        <w:sz w:val="22"/>
      </w:rPr>
    </w:lvl>
    <w:lvl w:ilvl="1" w:tplc="08090001">
      <w:start w:val="1"/>
      <w:numFmt w:val="bullet"/>
      <w:lvlText w:val=""/>
      <w:lvlJc w:val="left"/>
      <w:pPr>
        <w:tabs>
          <w:tab w:val="num" w:pos="465"/>
        </w:tabs>
        <w:ind w:left="465" w:hanging="360"/>
      </w:pPr>
      <w:rPr>
        <w:rFonts w:ascii="Symbol" w:hAnsi="Symbol" w:hint="default"/>
      </w:rPr>
    </w:lvl>
    <w:lvl w:ilvl="2" w:tplc="08090003">
      <w:start w:val="1"/>
      <w:numFmt w:val="bullet"/>
      <w:lvlText w:val="o"/>
      <w:lvlJc w:val="left"/>
      <w:pPr>
        <w:tabs>
          <w:tab w:val="num" w:pos="1185"/>
        </w:tabs>
        <w:ind w:left="1185" w:hanging="360"/>
      </w:pPr>
      <w:rPr>
        <w:rFonts w:ascii="Courier New" w:hAnsi="Courier New" w:cs="Courier New" w:hint="default"/>
      </w:rPr>
    </w:lvl>
    <w:lvl w:ilvl="3" w:tplc="0409000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0" w15:restartNumberingAfterBreak="0">
    <w:nsid w:val="25DA44CC"/>
    <w:multiLevelType w:val="hybridMultilevel"/>
    <w:tmpl w:val="498AAB60"/>
    <w:lvl w:ilvl="0" w:tplc="96BAE290">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708195D"/>
    <w:multiLevelType w:val="hybridMultilevel"/>
    <w:tmpl w:val="2162FF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8B0D1F"/>
    <w:multiLevelType w:val="hybridMultilevel"/>
    <w:tmpl w:val="1E24AE30"/>
    <w:lvl w:ilvl="0" w:tplc="14F0B1F2">
      <w:start w:val="1"/>
      <w:numFmt w:val="bullet"/>
      <w:lvlText w:val="•"/>
      <w:lvlJc w:val="left"/>
      <w:pPr>
        <w:tabs>
          <w:tab w:val="num" w:pos="360"/>
        </w:tabs>
        <w:ind w:left="360" w:hanging="360"/>
      </w:pPr>
      <w:rPr>
        <w:rFonts w:ascii="Arial" w:hAnsi="Arial" w:hint="default"/>
      </w:rPr>
    </w:lvl>
    <w:lvl w:ilvl="1" w:tplc="28989516">
      <w:start w:val="82"/>
      <w:numFmt w:val="bullet"/>
      <w:lvlText w:val="◦"/>
      <w:lvlJc w:val="left"/>
      <w:pPr>
        <w:tabs>
          <w:tab w:val="num" w:pos="1080"/>
        </w:tabs>
        <w:ind w:left="1080" w:hanging="360"/>
      </w:pPr>
      <w:rPr>
        <w:rFonts w:ascii="Arial" w:hAnsi="Arial" w:hint="default"/>
      </w:rPr>
    </w:lvl>
    <w:lvl w:ilvl="2" w:tplc="E2821840" w:tentative="1">
      <w:start w:val="1"/>
      <w:numFmt w:val="bullet"/>
      <w:lvlText w:val="•"/>
      <w:lvlJc w:val="left"/>
      <w:pPr>
        <w:tabs>
          <w:tab w:val="num" w:pos="1800"/>
        </w:tabs>
        <w:ind w:left="1800" w:hanging="360"/>
      </w:pPr>
      <w:rPr>
        <w:rFonts w:ascii="Arial" w:hAnsi="Arial" w:hint="default"/>
      </w:rPr>
    </w:lvl>
    <w:lvl w:ilvl="3" w:tplc="D068C74A" w:tentative="1">
      <w:start w:val="1"/>
      <w:numFmt w:val="bullet"/>
      <w:lvlText w:val="•"/>
      <w:lvlJc w:val="left"/>
      <w:pPr>
        <w:tabs>
          <w:tab w:val="num" w:pos="2520"/>
        </w:tabs>
        <w:ind w:left="2520" w:hanging="360"/>
      </w:pPr>
      <w:rPr>
        <w:rFonts w:ascii="Arial" w:hAnsi="Arial" w:hint="default"/>
      </w:rPr>
    </w:lvl>
    <w:lvl w:ilvl="4" w:tplc="E9469F88" w:tentative="1">
      <w:start w:val="1"/>
      <w:numFmt w:val="bullet"/>
      <w:lvlText w:val="•"/>
      <w:lvlJc w:val="left"/>
      <w:pPr>
        <w:tabs>
          <w:tab w:val="num" w:pos="3240"/>
        </w:tabs>
        <w:ind w:left="3240" w:hanging="360"/>
      </w:pPr>
      <w:rPr>
        <w:rFonts w:ascii="Arial" w:hAnsi="Arial" w:hint="default"/>
      </w:rPr>
    </w:lvl>
    <w:lvl w:ilvl="5" w:tplc="BD087F68" w:tentative="1">
      <w:start w:val="1"/>
      <w:numFmt w:val="bullet"/>
      <w:lvlText w:val="•"/>
      <w:lvlJc w:val="left"/>
      <w:pPr>
        <w:tabs>
          <w:tab w:val="num" w:pos="3960"/>
        </w:tabs>
        <w:ind w:left="3960" w:hanging="360"/>
      </w:pPr>
      <w:rPr>
        <w:rFonts w:ascii="Arial" w:hAnsi="Arial" w:hint="default"/>
      </w:rPr>
    </w:lvl>
    <w:lvl w:ilvl="6" w:tplc="1ED2E4B4" w:tentative="1">
      <w:start w:val="1"/>
      <w:numFmt w:val="bullet"/>
      <w:lvlText w:val="•"/>
      <w:lvlJc w:val="left"/>
      <w:pPr>
        <w:tabs>
          <w:tab w:val="num" w:pos="4680"/>
        </w:tabs>
        <w:ind w:left="4680" w:hanging="360"/>
      </w:pPr>
      <w:rPr>
        <w:rFonts w:ascii="Arial" w:hAnsi="Arial" w:hint="default"/>
      </w:rPr>
    </w:lvl>
    <w:lvl w:ilvl="7" w:tplc="9152A4FC" w:tentative="1">
      <w:start w:val="1"/>
      <w:numFmt w:val="bullet"/>
      <w:lvlText w:val="•"/>
      <w:lvlJc w:val="left"/>
      <w:pPr>
        <w:tabs>
          <w:tab w:val="num" w:pos="5400"/>
        </w:tabs>
        <w:ind w:left="5400" w:hanging="360"/>
      </w:pPr>
      <w:rPr>
        <w:rFonts w:ascii="Arial" w:hAnsi="Arial" w:hint="default"/>
      </w:rPr>
    </w:lvl>
    <w:lvl w:ilvl="8" w:tplc="C2C6C8C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3627AB"/>
    <w:multiLevelType w:val="hybridMultilevel"/>
    <w:tmpl w:val="F4DC2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517AF0"/>
    <w:multiLevelType w:val="hybridMultilevel"/>
    <w:tmpl w:val="20441B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652720"/>
    <w:multiLevelType w:val="hybridMultilevel"/>
    <w:tmpl w:val="700CF9D8"/>
    <w:lvl w:ilvl="0" w:tplc="3184DAC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81818"/>
    <w:multiLevelType w:val="hybridMultilevel"/>
    <w:tmpl w:val="2C74CF42"/>
    <w:lvl w:ilvl="0" w:tplc="08090001">
      <w:start w:val="1"/>
      <w:numFmt w:val="bulle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8090003">
      <w:start w:val="1"/>
      <w:numFmt w:val="bullet"/>
      <w:lvlText w:val="o"/>
      <w:lvlJc w:val="left"/>
      <w:pPr>
        <w:tabs>
          <w:tab w:val="num" w:pos="1185"/>
        </w:tabs>
        <w:ind w:left="1185" w:hanging="360"/>
      </w:pPr>
      <w:rPr>
        <w:rFonts w:ascii="Courier New" w:hAnsi="Courier New" w:cs="Courier New" w:hint="default"/>
      </w:rPr>
    </w:lvl>
    <w:lvl w:ilvl="3" w:tplc="0409000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C10362"/>
    <w:multiLevelType w:val="hybridMultilevel"/>
    <w:tmpl w:val="F8C0A3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072EEF"/>
    <w:multiLevelType w:val="hybridMultilevel"/>
    <w:tmpl w:val="A1A4876E"/>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3926D4"/>
    <w:multiLevelType w:val="hybridMultilevel"/>
    <w:tmpl w:val="473926D4"/>
    <w:lvl w:ilvl="0" w:tplc="066E1B08">
      <w:numFmt w:val="bullet"/>
      <w:lvlText w:val="-"/>
      <w:lvlJc w:val="left"/>
      <w:pPr>
        <w:ind w:left="720" w:hanging="360"/>
      </w:pPr>
      <w:rPr>
        <w:rFonts w:ascii="Times New Roman" w:eastAsia="Gulim" w:hAnsi="Times New Roman" w:cs="Times New Roman" w:hint="default"/>
      </w:rPr>
    </w:lvl>
    <w:lvl w:ilvl="1" w:tplc="8BDCFCB8">
      <w:start w:val="1"/>
      <w:numFmt w:val="bullet"/>
      <w:lvlText w:val="o"/>
      <w:lvlJc w:val="left"/>
      <w:pPr>
        <w:ind w:left="1440" w:hanging="360"/>
      </w:pPr>
      <w:rPr>
        <w:rFonts w:ascii="Courier New" w:hAnsi="Courier New" w:cs="Courier New" w:hint="default"/>
      </w:rPr>
    </w:lvl>
    <w:lvl w:ilvl="2" w:tplc="A5A8C0FC">
      <w:start w:val="1"/>
      <w:numFmt w:val="bullet"/>
      <w:lvlText w:val=""/>
      <w:lvlJc w:val="left"/>
      <w:pPr>
        <w:ind w:left="2160" w:hanging="360"/>
      </w:pPr>
      <w:rPr>
        <w:rFonts w:ascii="Wingdings" w:hAnsi="Wingdings" w:hint="default"/>
      </w:rPr>
    </w:lvl>
    <w:lvl w:ilvl="3" w:tplc="08D40C76">
      <w:start w:val="1"/>
      <w:numFmt w:val="bullet"/>
      <w:lvlText w:val=""/>
      <w:lvlJc w:val="left"/>
      <w:pPr>
        <w:ind w:left="2880" w:hanging="360"/>
      </w:pPr>
      <w:rPr>
        <w:rFonts w:ascii="Symbol" w:hAnsi="Symbol" w:hint="default"/>
      </w:rPr>
    </w:lvl>
    <w:lvl w:ilvl="4" w:tplc="5B74E498">
      <w:start w:val="1"/>
      <w:numFmt w:val="bullet"/>
      <w:lvlText w:val="o"/>
      <w:lvlJc w:val="left"/>
      <w:pPr>
        <w:ind w:left="3600" w:hanging="360"/>
      </w:pPr>
      <w:rPr>
        <w:rFonts w:ascii="Courier New" w:hAnsi="Courier New" w:cs="Courier New" w:hint="default"/>
      </w:rPr>
    </w:lvl>
    <w:lvl w:ilvl="5" w:tplc="4322BD56">
      <w:start w:val="1"/>
      <w:numFmt w:val="bullet"/>
      <w:lvlText w:val=""/>
      <w:lvlJc w:val="left"/>
      <w:pPr>
        <w:ind w:left="4320" w:hanging="360"/>
      </w:pPr>
      <w:rPr>
        <w:rFonts w:ascii="Wingdings" w:hAnsi="Wingdings" w:hint="default"/>
      </w:rPr>
    </w:lvl>
    <w:lvl w:ilvl="6" w:tplc="077ED7C6">
      <w:start w:val="1"/>
      <w:numFmt w:val="bullet"/>
      <w:lvlText w:val=""/>
      <w:lvlJc w:val="left"/>
      <w:pPr>
        <w:ind w:left="5040" w:hanging="360"/>
      </w:pPr>
      <w:rPr>
        <w:rFonts w:ascii="Symbol" w:hAnsi="Symbol" w:hint="default"/>
      </w:rPr>
    </w:lvl>
    <w:lvl w:ilvl="7" w:tplc="5DF266F2">
      <w:start w:val="1"/>
      <w:numFmt w:val="bullet"/>
      <w:lvlText w:val="o"/>
      <w:lvlJc w:val="left"/>
      <w:pPr>
        <w:ind w:left="5760" w:hanging="360"/>
      </w:pPr>
      <w:rPr>
        <w:rFonts w:ascii="Courier New" w:hAnsi="Courier New" w:cs="Courier New" w:hint="default"/>
      </w:rPr>
    </w:lvl>
    <w:lvl w:ilvl="8" w:tplc="E4A89160">
      <w:start w:val="1"/>
      <w:numFmt w:val="bullet"/>
      <w:lvlText w:val=""/>
      <w:lvlJc w:val="left"/>
      <w:pPr>
        <w:ind w:left="6480" w:hanging="360"/>
      </w:pPr>
      <w:rPr>
        <w:rFonts w:ascii="Wingdings" w:hAnsi="Wingdings" w:hint="default"/>
      </w:rPr>
    </w:lvl>
  </w:abstractNum>
  <w:abstractNum w:abstractNumId="23" w15:restartNumberingAfterBreak="0">
    <w:nsid w:val="479E3D6D"/>
    <w:multiLevelType w:val="hybridMultilevel"/>
    <w:tmpl w:val="52029E96"/>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25"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6"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5029088F"/>
    <w:multiLevelType w:val="hybridMultilevel"/>
    <w:tmpl w:val="F1A882B2"/>
    <w:lvl w:ilvl="0" w:tplc="08090005">
      <w:start w:val="1"/>
      <w:numFmt w:val="bullet"/>
      <w:lvlText w:val=""/>
      <w:lvlJc w:val="left"/>
      <w:pPr>
        <w:tabs>
          <w:tab w:val="num" w:pos="644"/>
        </w:tabs>
        <w:ind w:left="644" w:hanging="360"/>
      </w:pPr>
      <w:rPr>
        <w:rFonts w:ascii="Wingdings" w:hAnsi="Wingdings" w:hint="default"/>
      </w:rPr>
    </w:lvl>
    <w:lvl w:ilvl="1" w:tplc="08090005">
      <w:start w:val="1"/>
      <w:numFmt w:val="bullet"/>
      <w:lvlText w:val=""/>
      <w:lvlJc w:val="left"/>
      <w:pPr>
        <w:tabs>
          <w:tab w:val="num" w:pos="1364"/>
        </w:tabs>
        <w:ind w:left="1364" w:hanging="360"/>
      </w:pPr>
      <w:rPr>
        <w:rFonts w:ascii="Wingdings" w:hAnsi="Wingdings" w:hint="default"/>
      </w:rPr>
    </w:lvl>
    <w:lvl w:ilvl="2" w:tplc="B7F2641A" w:tentative="1">
      <w:start w:val="1"/>
      <w:numFmt w:val="decimal"/>
      <w:lvlText w:val="%3)"/>
      <w:lvlJc w:val="left"/>
      <w:pPr>
        <w:tabs>
          <w:tab w:val="num" w:pos="2084"/>
        </w:tabs>
        <w:ind w:left="2084" w:hanging="360"/>
      </w:pPr>
    </w:lvl>
    <w:lvl w:ilvl="3" w:tplc="B2C6C478" w:tentative="1">
      <w:start w:val="1"/>
      <w:numFmt w:val="decimal"/>
      <w:lvlText w:val="%4)"/>
      <w:lvlJc w:val="left"/>
      <w:pPr>
        <w:tabs>
          <w:tab w:val="num" w:pos="2804"/>
        </w:tabs>
        <w:ind w:left="2804" w:hanging="360"/>
      </w:pPr>
    </w:lvl>
    <w:lvl w:ilvl="4" w:tplc="DAF43CA0" w:tentative="1">
      <w:start w:val="1"/>
      <w:numFmt w:val="decimal"/>
      <w:lvlText w:val="%5)"/>
      <w:lvlJc w:val="left"/>
      <w:pPr>
        <w:tabs>
          <w:tab w:val="num" w:pos="3524"/>
        </w:tabs>
        <w:ind w:left="3524" w:hanging="360"/>
      </w:pPr>
    </w:lvl>
    <w:lvl w:ilvl="5" w:tplc="358A43F6" w:tentative="1">
      <w:start w:val="1"/>
      <w:numFmt w:val="decimal"/>
      <w:lvlText w:val="%6)"/>
      <w:lvlJc w:val="left"/>
      <w:pPr>
        <w:tabs>
          <w:tab w:val="num" w:pos="4244"/>
        </w:tabs>
        <w:ind w:left="4244" w:hanging="360"/>
      </w:pPr>
    </w:lvl>
    <w:lvl w:ilvl="6" w:tplc="A588EDBC" w:tentative="1">
      <w:start w:val="1"/>
      <w:numFmt w:val="decimal"/>
      <w:lvlText w:val="%7)"/>
      <w:lvlJc w:val="left"/>
      <w:pPr>
        <w:tabs>
          <w:tab w:val="num" w:pos="4964"/>
        </w:tabs>
        <w:ind w:left="4964" w:hanging="360"/>
      </w:pPr>
    </w:lvl>
    <w:lvl w:ilvl="7" w:tplc="DFF8E9C2" w:tentative="1">
      <w:start w:val="1"/>
      <w:numFmt w:val="decimal"/>
      <w:lvlText w:val="%8)"/>
      <w:lvlJc w:val="left"/>
      <w:pPr>
        <w:tabs>
          <w:tab w:val="num" w:pos="5684"/>
        </w:tabs>
        <w:ind w:left="5684" w:hanging="360"/>
      </w:pPr>
    </w:lvl>
    <w:lvl w:ilvl="8" w:tplc="41D62BC2" w:tentative="1">
      <w:start w:val="1"/>
      <w:numFmt w:val="decimal"/>
      <w:lvlText w:val="%9)"/>
      <w:lvlJc w:val="left"/>
      <w:pPr>
        <w:tabs>
          <w:tab w:val="num" w:pos="6404"/>
        </w:tabs>
        <w:ind w:left="6404" w:hanging="360"/>
      </w:pPr>
    </w:lvl>
  </w:abstractNum>
  <w:abstractNum w:abstractNumId="28" w15:restartNumberingAfterBreak="0">
    <w:nsid w:val="50C842AC"/>
    <w:multiLevelType w:val="hybridMultilevel"/>
    <w:tmpl w:val="F942E7FC"/>
    <w:lvl w:ilvl="0" w:tplc="5FD01F6A">
      <w:start w:val="1"/>
      <w:numFmt w:val="bullet"/>
      <w:lvlText w:val="•"/>
      <w:lvlJc w:val="left"/>
      <w:pPr>
        <w:tabs>
          <w:tab w:val="num" w:pos="720"/>
        </w:tabs>
        <w:ind w:left="720" w:hanging="360"/>
      </w:pPr>
      <w:rPr>
        <w:rFonts w:ascii="Arial" w:hAnsi="Arial" w:hint="default"/>
      </w:rPr>
    </w:lvl>
    <w:lvl w:ilvl="1" w:tplc="6CE60F2E">
      <w:start w:val="1"/>
      <w:numFmt w:val="bullet"/>
      <w:lvlText w:val="•"/>
      <w:lvlJc w:val="left"/>
      <w:pPr>
        <w:tabs>
          <w:tab w:val="num" w:pos="1440"/>
        </w:tabs>
        <w:ind w:left="1440" w:hanging="360"/>
      </w:pPr>
      <w:rPr>
        <w:rFonts w:ascii="Arial" w:hAnsi="Arial" w:hint="default"/>
      </w:rPr>
    </w:lvl>
    <w:lvl w:ilvl="2" w:tplc="B566A156" w:tentative="1">
      <w:start w:val="1"/>
      <w:numFmt w:val="bullet"/>
      <w:lvlText w:val="•"/>
      <w:lvlJc w:val="left"/>
      <w:pPr>
        <w:tabs>
          <w:tab w:val="num" w:pos="2160"/>
        </w:tabs>
        <w:ind w:left="2160" w:hanging="360"/>
      </w:pPr>
      <w:rPr>
        <w:rFonts w:ascii="Arial" w:hAnsi="Arial" w:hint="default"/>
      </w:rPr>
    </w:lvl>
    <w:lvl w:ilvl="3" w:tplc="DDF23D7A" w:tentative="1">
      <w:start w:val="1"/>
      <w:numFmt w:val="bullet"/>
      <w:lvlText w:val="•"/>
      <w:lvlJc w:val="left"/>
      <w:pPr>
        <w:tabs>
          <w:tab w:val="num" w:pos="2880"/>
        </w:tabs>
        <w:ind w:left="2880" w:hanging="360"/>
      </w:pPr>
      <w:rPr>
        <w:rFonts w:ascii="Arial" w:hAnsi="Arial" w:hint="default"/>
      </w:rPr>
    </w:lvl>
    <w:lvl w:ilvl="4" w:tplc="F30CDDEC" w:tentative="1">
      <w:start w:val="1"/>
      <w:numFmt w:val="bullet"/>
      <w:lvlText w:val="•"/>
      <w:lvlJc w:val="left"/>
      <w:pPr>
        <w:tabs>
          <w:tab w:val="num" w:pos="3600"/>
        </w:tabs>
        <w:ind w:left="3600" w:hanging="360"/>
      </w:pPr>
      <w:rPr>
        <w:rFonts w:ascii="Arial" w:hAnsi="Arial" w:hint="default"/>
      </w:rPr>
    </w:lvl>
    <w:lvl w:ilvl="5" w:tplc="342CE69C" w:tentative="1">
      <w:start w:val="1"/>
      <w:numFmt w:val="bullet"/>
      <w:lvlText w:val="•"/>
      <w:lvlJc w:val="left"/>
      <w:pPr>
        <w:tabs>
          <w:tab w:val="num" w:pos="4320"/>
        </w:tabs>
        <w:ind w:left="4320" w:hanging="360"/>
      </w:pPr>
      <w:rPr>
        <w:rFonts w:ascii="Arial" w:hAnsi="Arial" w:hint="default"/>
      </w:rPr>
    </w:lvl>
    <w:lvl w:ilvl="6" w:tplc="9A24BBAC" w:tentative="1">
      <w:start w:val="1"/>
      <w:numFmt w:val="bullet"/>
      <w:lvlText w:val="•"/>
      <w:lvlJc w:val="left"/>
      <w:pPr>
        <w:tabs>
          <w:tab w:val="num" w:pos="5040"/>
        </w:tabs>
        <w:ind w:left="5040" w:hanging="360"/>
      </w:pPr>
      <w:rPr>
        <w:rFonts w:ascii="Arial" w:hAnsi="Arial" w:hint="default"/>
      </w:rPr>
    </w:lvl>
    <w:lvl w:ilvl="7" w:tplc="3D48462C" w:tentative="1">
      <w:start w:val="1"/>
      <w:numFmt w:val="bullet"/>
      <w:lvlText w:val="•"/>
      <w:lvlJc w:val="left"/>
      <w:pPr>
        <w:tabs>
          <w:tab w:val="num" w:pos="5760"/>
        </w:tabs>
        <w:ind w:left="5760" w:hanging="360"/>
      </w:pPr>
      <w:rPr>
        <w:rFonts w:ascii="Arial" w:hAnsi="Arial" w:hint="default"/>
      </w:rPr>
    </w:lvl>
    <w:lvl w:ilvl="8" w:tplc="7DA0E46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CC1176"/>
    <w:multiLevelType w:val="hybridMultilevel"/>
    <w:tmpl w:val="1DEC422A"/>
    <w:lvl w:ilvl="0" w:tplc="C02A8ECA">
      <w:start w:val="1"/>
      <w:numFmt w:val="bullet"/>
      <w:lvlText w:val="•"/>
      <w:lvlJc w:val="left"/>
      <w:pPr>
        <w:tabs>
          <w:tab w:val="num" w:pos="720"/>
        </w:tabs>
        <w:ind w:left="720" w:hanging="360"/>
      </w:pPr>
      <w:rPr>
        <w:rFonts w:ascii="Arial" w:hAnsi="Arial" w:hint="default"/>
      </w:rPr>
    </w:lvl>
    <w:lvl w:ilvl="1" w:tplc="7D48D0B0">
      <w:start w:val="1"/>
      <w:numFmt w:val="bullet"/>
      <w:lvlText w:val="•"/>
      <w:lvlJc w:val="left"/>
      <w:pPr>
        <w:tabs>
          <w:tab w:val="num" w:pos="1440"/>
        </w:tabs>
        <w:ind w:left="1440" w:hanging="360"/>
      </w:pPr>
      <w:rPr>
        <w:rFonts w:ascii="Arial" w:hAnsi="Arial" w:hint="default"/>
      </w:rPr>
    </w:lvl>
    <w:lvl w:ilvl="2" w:tplc="7C8CAD54" w:tentative="1">
      <w:start w:val="1"/>
      <w:numFmt w:val="bullet"/>
      <w:lvlText w:val="•"/>
      <w:lvlJc w:val="left"/>
      <w:pPr>
        <w:tabs>
          <w:tab w:val="num" w:pos="2160"/>
        </w:tabs>
        <w:ind w:left="2160" w:hanging="360"/>
      </w:pPr>
      <w:rPr>
        <w:rFonts w:ascii="Arial" w:hAnsi="Arial" w:hint="default"/>
      </w:rPr>
    </w:lvl>
    <w:lvl w:ilvl="3" w:tplc="F3640916" w:tentative="1">
      <w:start w:val="1"/>
      <w:numFmt w:val="bullet"/>
      <w:lvlText w:val="•"/>
      <w:lvlJc w:val="left"/>
      <w:pPr>
        <w:tabs>
          <w:tab w:val="num" w:pos="2880"/>
        </w:tabs>
        <w:ind w:left="2880" w:hanging="360"/>
      </w:pPr>
      <w:rPr>
        <w:rFonts w:ascii="Arial" w:hAnsi="Arial" w:hint="default"/>
      </w:rPr>
    </w:lvl>
    <w:lvl w:ilvl="4" w:tplc="FE8A9E60" w:tentative="1">
      <w:start w:val="1"/>
      <w:numFmt w:val="bullet"/>
      <w:lvlText w:val="•"/>
      <w:lvlJc w:val="left"/>
      <w:pPr>
        <w:tabs>
          <w:tab w:val="num" w:pos="3600"/>
        </w:tabs>
        <w:ind w:left="3600" w:hanging="360"/>
      </w:pPr>
      <w:rPr>
        <w:rFonts w:ascii="Arial" w:hAnsi="Arial" w:hint="default"/>
      </w:rPr>
    </w:lvl>
    <w:lvl w:ilvl="5" w:tplc="41105422" w:tentative="1">
      <w:start w:val="1"/>
      <w:numFmt w:val="bullet"/>
      <w:lvlText w:val="•"/>
      <w:lvlJc w:val="left"/>
      <w:pPr>
        <w:tabs>
          <w:tab w:val="num" w:pos="4320"/>
        </w:tabs>
        <w:ind w:left="4320" w:hanging="360"/>
      </w:pPr>
      <w:rPr>
        <w:rFonts w:ascii="Arial" w:hAnsi="Arial" w:hint="default"/>
      </w:rPr>
    </w:lvl>
    <w:lvl w:ilvl="6" w:tplc="104C8E74" w:tentative="1">
      <w:start w:val="1"/>
      <w:numFmt w:val="bullet"/>
      <w:lvlText w:val="•"/>
      <w:lvlJc w:val="left"/>
      <w:pPr>
        <w:tabs>
          <w:tab w:val="num" w:pos="5040"/>
        </w:tabs>
        <w:ind w:left="5040" w:hanging="360"/>
      </w:pPr>
      <w:rPr>
        <w:rFonts w:ascii="Arial" w:hAnsi="Arial" w:hint="default"/>
      </w:rPr>
    </w:lvl>
    <w:lvl w:ilvl="7" w:tplc="5900BE7E" w:tentative="1">
      <w:start w:val="1"/>
      <w:numFmt w:val="bullet"/>
      <w:lvlText w:val="•"/>
      <w:lvlJc w:val="left"/>
      <w:pPr>
        <w:tabs>
          <w:tab w:val="num" w:pos="5760"/>
        </w:tabs>
        <w:ind w:left="5760" w:hanging="360"/>
      </w:pPr>
      <w:rPr>
        <w:rFonts w:ascii="Arial" w:hAnsi="Arial" w:hint="default"/>
      </w:rPr>
    </w:lvl>
    <w:lvl w:ilvl="8" w:tplc="976A5F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4E3797"/>
    <w:multiLevelType w:val="hybridMultilevel"/>
    <w:tmpl w:val="C3E0FCC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9723554"/>
    <w:multiLevelType w:val="hybridMultilevel"/>
    <w:tmpl w:val="2A2C582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6117A0"/>
    <w:multiLevelType w:val="hybridMultilevel"/>
    <w:tmpl w:val="136689F8"/>
    <w:lvl w:ilvl="0" w:tplc="08090001">
      <w:start w:val="1"/>
      <w:numFmt w:val="bullet"/>
      <w:lvlText w:val=""/>
      <w:lvlJc w:val="left"/>
      <w:pPr>
        <w:tabs>
          <w:tab w:val="num" w:pos="360"/>
        </w:tabs>
        <w:ind w:left="360" w:hanging="360"/>
      </w:pPr>
      <w:rPr>
        <w:rFonts w:ascii="Symbol" w:hAnsi="Symbol" w:hint="default"/>
        <w:b/>
        <w:i w:val="0"/>
        <w:color w:val="auto"/>
        <w:sz w:val="22"/>
      </w:rPr>
    </w:lvl>
    <w:lvl w:ilvl="1" w:tplc="08090001">
      <w:start w:val="1"/>
      <w:numFmt w:val="bullet"/>
      <w:lvlText w:val=""/>
      <w:lvlJc w:val="left"/>
      <w:pPr>
        <w:tabs>
          <w:tab w:val="num" w:pos="181"/>
        </w:tabs>
        <w:ind w:left="181" w:hanging="360"/>
      </w:pPr>
      <w:rPr>
        <w:rFonts w:ascii="Symbol" w:hAnsi="Symbol"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5DF5554D"/>
    <w:multiLevelType w:val="hybridMultilevel"/>
    <w:tmpl w:val="6EF06BF0"/>
    <w:lvl w:ilvl="0" w:tplc="724E9670">
      <w:start w:val="1"/>
      <w:numFmt w:val="decimal"/>
      <w:lvlText w:val="%1."/>
      <w:lvlJc w:val="left"/>
      <w:pPr>
        <w:tabs>
          <w:tab w:val="num" w:pos="360"/>
        </w:tabs>
        <w:ind w:left="360" w:hanging="360"/>
      </w:pPr>
    </w:lvl>
    <w:lvl w:ilvl="1" w:tplc="B5A860C6" w:tentative="1">
      <w:start w:val="1"/>
      <w:numFmt w:val="decimal"/>
      <w:lvlText w:val="%2."/>
      <w:lvlJc w:val="left"/>
      <w:pPr>
        <w:tabs>
          <w:tab w:val="num" w:pos="1080"/>
        </w:tabs>
        <w:ind w:left="1080" w:hanging="360"/>
      </w:pPr>
    </w:lvl>
    <w:lvl w:ilvl="2" w:tplc="204C5B96" w:tentative="1">
      <w:start w:val="1"/>
      <w:numFmt w:val="decimal"/>
      <w:lvlText w:val="%3."/>
      <w:lvlJc w:val="left"/>
      <w:pPr>
        <w:tabs>
          <w:tab w:val="num" w:pos="1800"/>
        </w:tabs>
        <w:ind w:left="1800" w:hanging="360"/>
      </w:pPr>
    </w:lvl>
    <w:lvl w:ilvl="3" w:tplc="1ED2B560" w:tentative="1">
      <w:start w:val="1"/>
      <w:numFmt w:val="decimal"/>
      <w:lvlText w:val="%4."/>
      <w:lvlJc w:val="left"/>
      <w:pPr>
        <w:tabs>
          <w:tab w:val="num" w:pos="2520"/>
        </w:tabs>
        <w:ind w:left="2520" w:hanging="360"/>
      </w:pPr>
    </w:lvl>
    <w:lvl w:ilvl="4" w:tplc="90BE409C" w:tentative="1">
      <w:start w:val="1"/>
      <w:numFmt w:val="decimal"/>
      <w:lvlText w:val="%5."/>
      <w:lvlJc w:val="left"/>
      <w:pPr>
        <w:tabs>
          <w:tab w:val="num" w:pos="3240"/>
        </w:tabs>
        <w:ind w:left="3240" w:hanging="360"/>
      </w:pPr>
    </w:lvl>
    <w:lvl w:ilvl="5" w:tplc="099AB95E" w:tentative="1">
      <w:start w:val="1"/>
      <w:numFmt w:val="decimal"/>
      <w:lvlText w:val="%6."/>
      <w:lvlJc w:val="left"/>
      <w:pPr>
        <w:tabs>
          <w:tab w:val="num" w:pos="3960"/>
        </w:tabs>
        <w:ind w:left="3960" w:hanging="360"/>
      </w:pPr>
    </w:lvl>
    <w:lvl w:ilvl="6" w:tplc="C1521618" w:tentative="1">
      <w:start w:val="1"/>
      <w:numFmt w:val="decimal"/>
      <w:lvlText w:val="%7."/>
      <w:lvlJc w:val="left"/>
      <w:pPr>
        <w:tabs>
          <w:tab w:val="num" w:pos="4680"/>
        </w:tabs>
        <w:ind w:left="4680" w:hanging="360"/>
      </w:pPr>
    </w:lvl>
    <w:lvl w:ilvl="7" w:tplc="DFE6FADC" w:tentative="1">
      <w:start w:val="1"/>
      <w:numFmt w:val="decimal"/>
      <w:lvlText w:val="%8."/>
      <w:lvlJc w:val="left"/>
      <w:pPr>
        <w:tabs>
          <w:tab w:val="num" w:pos="5400"/>
        </w:tabs>
        <w:ind w:left="5400" w:hanging="360"/>
      </w:pPr>
    </w:lvl>
    <w:lvl w:ilvl="8" w:tplc="5192C936" w:tentative="1">
      <w:start w:val="1"/>
      <w:numFmt w:val="decimal"/>
      <w:lvlText w:val="%9."/>
      <w:lvlJc w:val="left"/>
      <w:pPr>
        <w:tabs>
          <w:tab w:val="num" w:pos="6120"/>
        </w:tabs>
        <w:ind w:left="6120" w:hanging="360"/>
      </w:pPr>
    </w:lvl>
  </w:abstractNum>
  <w:abstractNum w:abstractNumId="36" w15:restartNumberingAfterBreak="0">
    <w:nsid w:val="5EFC3CF4"/>
    <w:multiLevelType w:val="hybridMultilevel"/>
    <w:tmpl w:val="3CE23B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B70132"/>
    <w:multiLevelType w:val="hybridMultilevel"/>
    <w:tmpl w:val="2626C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342DD6"/>
    <w:multiLevelType w:val="hybridMultilevel"/>
    <w:tmpl w:val="53323D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51A641D"/>
    <w:multiLevelType w:val="hybridMultilevel"/>
    <w:tmpl w:val="DB46C5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E0210F"/>
    <w:multiLevelType w:val="hybridMultilevel"/>
    <w:tmpl w:val="0E38B9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E3C4503"/>
    <w:multiLevelType w:val="hybridMultilevel"/>
    <w:tmpl w:val="B38C9D8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5" w15:restartNumberingAfterBreak="0">
    <w:nsid w:val="748B4A7C"/>
    <w:multiLevelType w:val="hybridMultilevel"/>
    <w:tmpl w:val="8A4E7536"/>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47" w15:restartNumberingAfterBreak="0">
    <w:nsid w:val="798940CB"/>
    <w:multiLevelType w:val="hybridMultilevel"/>
    <w:tmpl w:val="DF34856A"/>
    <w:lvl w:ilvl="0" w:tplc="08090005">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9"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8"/>
  </w:num>
  <w:num w:numId="3">
    <w:abstractNumId w:val="25"/>
  </w:num>
  <w:num w:numId="4">
    <w:abstractNumId w:val="21"/>
  </w:num>
  <w:num w:numId="5">
    <w:abstractNumId w:val="2"/>
  </w:num>
  <w:num w:numId="6">
    <w:abstractNumId w:val="46"/>
  </w:num>
  <w:num w:numId="7">
    <w:abstractNumId w:val="44"/>
  </w:num>
  <w:num w:numId="8">
    <w:abstractNumId w:val="49"/>
  </w:num>
  <w:num w:numId="9">
    <w:abstractNumId w:val="1"/>
  </w:num>
  <w:num w:numId="10">
    <w:abstractNumId w:val="29"/>
  </w:num>
  <w:num w:numId="11">
    <w:abstractNumId w:val="10"/>
  </w:num>
  <w:num w:numId="12">
    <w:abstractNumId w:val="5"/>
  </w:num>
  <w:num w:numId="13">
    <w:abstractNumId w:val="27"/>
  </w:num>
  <w:num w:numId="14">
    <w:abstractNumId w:val="26"/>
  </w:num>
  <w:num w:numId="15">
    <w:abstractNumId w:val="18"/>
  </w:num>
  <w:num w:numId="16">
    <w:abstractNumId w:val="43"/>
  </w:num>
  <w:num w:numId="17">
    <w:abstractNumId w:val="30"/>
  </w:num>
  <w:num w:numId="18">
    <w:abstractNumId w:val="28"/>
  </w:num>
  <w:num w:numId="19">
    <w:abstractNumId w:val="47"/>
  </w:num>
  <w:num w:numId="20">
    <w:abstractNumId w:val="36"/>
  </w:num>
  <w:num w:numId="21">
    <w:abstractNumId w:val="20"/>
  </w:num>
  <w:num w:numId="22">
    <w:abstractNumId w:val="45"/>
  </w:num>
  <w:num w:numId="23">
    <w:abstractNumId w:val="11"/>
  </w:num>
  <w:num w:numId="24">
    <w:abstractNumId w:val="8"/>
  </w:num>
  <w:num w:numId="25">
    <w:abstractNumId w:val="12"/>
  </w:num>
  <w:num w:numId="26">
    <w:abstractNumId w:val="34"/>
  </w:num>
  <w:num w:numId="27">
    <w:abstractNumId w:val="17"/>
  </w:num>
  <w:num w:numId="28">
    <w:abstractNumId w:val="9"/>
  </w:num>
  <w:num w:numId="29">
    <w:abstractNumId w:val="41"/>
  </w:num>
  <w:num w:numId="30">
    <w:abstractNumId w:val="37"/>
  </w:num>
  <w:num w:numId="31">
    <w:abstractNumId w:val="40"/>
  </w:num>
  <w:num w:numId="32">
    <w:abstractNumId w:val="38"/>
  </w:num>
  <w:num w:numId="33">
    <w:abstractNumId w:val="32"/>
  </w:num>
  <w:num w:numId="34">
    <w:abstractNumId w:val="6"/>
  </w:num>
  <w:num w:numId="35">
    <w:abstractNumId w:val="4"/>
  </w:num>
  <w:num w:numId="36">
    <w:abstractNumId w:val="39"/>
  </w:num>
  <w:num w:numId="37">
    <w:abstractNumId w:val="0"/>
  </w:num>
  <w:num w:numId="38">
    <w:abstractNumId w:val="42"/>
  </w:num>
  <w:num w:numId="39">
    <w:abstractNumId w:val="19"/>
  </w:num>
  <w:num w:numId="40">
    <w:abstractNumId w:val="14"/>
  </w:num>
  <w:num w:numId="41">
    <w:abstractNumId w:val="23"/>
  </w:num>
  <w:num w:numId="42">
    <w:abstractNumId w:val="33"/>
  </w:num>
  <w:num w:numId="43">
    <w:abstractNumId w:val="31"/>
  </w:num>
  <w:num w:numId="44">
    <w:abstractNumId w:val="22"/>
  </w:num>
  <w:num w:numId="45">
    <w:abstractNumId w:val="15"/>
  </w:num>
  <w:num w:numId="46">
    <w:abstractNumId w:val="7"/>
  </w:num>
  <w:num w:numId="47">
    <w:abstractNumId w:val="13"/>
  </w:num>
  <w:num w:numId="48">
    <w:abstractNumId w:val="16"/>
  </w:num>
  <w:num w:numId="49">
    <w:abstractNumId w:val="3"/>
  </w:num>
  <w:num w:numId="50">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200C"/>
    <w:rsid w:val="0000290C"/>
    <w:rsid w:val="00002FAE"/>
    <w:rsid w:val="000031CF"/>
    <w:rsid w:val="0000332B"/>
    <w:rsid w:val="000034A9"/>
    <w:rsid w:val="00003A6A"/>
    <w:rsid w:val="00003B6C"/>
    <w:rsid w:val="00003F83"/>
    <w:rsid w:val="000042D7"/>
    <w:rsid w:val="00006521"/>
    <w:rsid w:val="00006965"/>
    <w:rsid w:val="00006B66"/>
    <w:rsid w:val="00006E5C"/>
    <w:rsid w:val="0000728E"/>
    <w:rsid w:val="00007474"/>
    <w:rsid w:val="000074DE"/>
    <w:rsid w:val="00007E80"/>
    <w:rsid w:val="00010248"/>
    <w:rsid w:val="000113B8"/>
    <w:rsid w:val="0001154F"/>
    <w:rsid w:val="000117AA"/>
    <w:rsid w:val="000118B9"/>
    <w:rsid w:val="000118DE"/>
    <w:rsid w:val="000120AA"/>
    <w:rsid w:val="00012227"/>
    <w:rsid w:val="00012988"/>
    <w:rsid w:val="0001404E"/>
    <w:rsid w:val="000145E8"/>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C2"/>
    <w:rsid w:val="000263DC"/>
    <w:rsid w:val="00026BED"/>
    <w:rsid w:val="00026E23"/>
    <w:rsid w:val="0002779F"/>
    <w:rsid w:val="000278B8"/>
    <w:rsid w:val="00030347"/>
    <w:rsid w:val="00030A15"/>
    <w:rsid w:val="00031A35"/>
    <w:rsid w:val="00032083"/>
    <w:rsid w:val="000323AA"/>
    <w:rsid w:val="00032BF2"/>
    <w:rsid w:val="00032D6F"/>
    <w:rsid w:val="00033129"/>
    <w:rsid w:val="000332F0"/>
    <w:rsid w:val="00033C7C"/>
    <w:rsid w:val="00033ED3"/>
    <w:rsid w:val="000343C5"/>
    <w:rsid w:val="000351E5"/>
    <w:rsid w:val="00035507"/>
    <w:rsid w:val="00035680"/>
    <w:rsid w:val="0003571B"/>
    <w:rsid w:val="000357B8"/>
    <w:rsid w:val="00035D8D"/>
    <w:rsid w:val="0003617F"/>
    <w:rsid w:val="00036EC6"/>
    <w:rsid w:val="00040127"/>
    <w:rsid w:val="000413A1"/>
    <w:rsid w:val="00042EE3"/>
    <w:rsid w:val="00044216"/>
    <w:rsid w:val="00044B88"/>
    <w:rsid w:val="00045D7E"/>
    <w:rsid w:val="00045DB5"/>
    <w:rsid w:val="000461F5"/>
    <w:rsid w:val="0004665A"/>
    <w:rsid w:val="0004675F"/>
    <w:rsid w:val="00050DCB"/>
    <w:rsid w:val="0005106D"/>
    <w:rsid w:val="000515C7"/>
    <w:rsid w:val="00051A9A"/>
    <w:rsid w:val="00051AFC"/>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55E"/>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4B93"/>
    <w:rsid w:val="000756CB"/>
    <w:rsid w:val="000759EF"/>
    <w:rsid w:val="00076759"/>
    <w:rsid w:val="000772A2"/>
    <w:rsid w:val="00077316"/>
    <w:rsid w:val="00077435"/>
    <w:rsid w:val="00080086"/>
    <w:rsid w:val="00080202"/>
    <w:rsid w:val="00080295"/>
    <w:rsid w:val="00080453"/>
    <w:rsid w:val="00080C0A"/>
    <w:rsid w:val="00081548"/>
    <w:rsid w:val="000816DA"/>
    <w:rsid w:val="00081762"/>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970F6"/>
    <w:rsid w:val="000A006E"/>
    <w:rsid w:val="000A1523"/>
    <w:rsid w:val="000A17F4"/>
    <w:rsid w:val="000A1A8E"/>
    <w:rsid w:val="000A1DAC"/>
    <w:rsid w:val="000A1F90"/>
    <w:rsid w:val="000A2C11"/>
    <w:rsid w:val="000A2F80"/>
    <w:rsid w:val="000A4D22"/>
    <w:rsid w:val="000A4F80"/>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F52"/>
    <w:rsid w:val="000B56F5"/>
    <w:rsid w:val="000B5807"/>
    <w:rsid w:val="000B6338"/>
    <w:rsid w:val="000B64C5"/>
    <w:rsid w:val="000C080B"/>
    <w:rsid w:val="000C0F14"/>
    <w:rsid w:val="000C2596"/>
    <w:rsid w:val="000C28FA"/>
    <w:rsid w:val="000C2C82"/>
    <w:rsid w:val="000C3B66"/>
    <w:rsid w:val="000C3D05"/>
    <w:rsid w:val="000C405C"/>
    <w:rsid w:val="000C4680"/>
    <w:rsid w:val="000C6A67"/>
    <w:rsid w:val="000C72B3"/>
    <w:rsid w:val="000C747E"/>
    <w:rsid w:val="000D1793"/>
    <w:rsid w:val="000D2ED1"/>
    <w:rsid w:val="000D3492"/>
    <w:rsid w:val="000D3AB5"/>
    <w:rsid w:val="000D4F5C"/>
    <w:rsid w:val="000D4F9C"/>
    <w:rsid w:val="000D5350"/>
    <w:rsid w:val="000D53FB"/>
    <w:rsid w:val="000D570F"/>
    <w:rsid w:val="000D6498"/>
    <w:rsid w:val="000D66AD"/>
    <w:rsid w:val="000D6A19"/>
    <w:rsid w:val="000D6E9E"/>
    <w:rsid w:val="000D7155"/>
    <w:rsid w:val="000D751D"/>
    <w:rsid w:val="000E012A"/>
    <w:rsid w:val="000E08B3"/>
    <w:rsid w:val="000E0995"/>
    <w:rsid w:val="000E0CB7"/>
    <w:rsid w:val="000E155A"/>
    <w:rsid w:val="000E1871"/>
    <w:rsid w:val="000E19E5"/>
    <w:rsid w:val="000E1FB2"/>
    <w:rsid w:val="000E2289"/>
    <w:rsid w:val="000E2491"/>
    <w:rsid w:val="000E2EA7"/>
    <w:rsid w:val="000E3856"/>
    <w:rsid w:val="000E489B"/>
    <w:rsid w:val="000E491C"/>
    <w:rsid w:val="000E4930"/>
    <w:rsid w:val="000E4C5E"/>
    <w:rsid w:val="000E6609"/>
    <w:rsid w:val="000E691D"/>
    <w:rsid w:val="000E6EDA"/>
    <w:rsid w:val="000E7462"/>
    <w:rsid w:val="000E7650"/>
    <w:rsid w:val="000E790D"/>
    <w:rsid w:val="000E7C92"/>
    <w:rsid w:val="000E7DA2"/>
    <w:rsid w:val="000F01BE"/>
    <w:rsid w:val="000F0451"/>
    <w:rsid w:val="000F04D9"/>
    <w:rsid w:val="000F0526"/>
    <w:rsid w:val="000F1FD1"/>
    <w:rsid w:val="000F210D"/>
    <w:rsid w:val="000F2709"/>
    <w:rsid w:val="000F323E"/>
    <w:rsid w:val="000F33E5"/>
    <w:rsid w:val="000F3C4E"/>
    <w:rsid w:val="000F46FF"/>
    <w:rsid w:val="000F4FAB"/>
    <w:rsid w:val="000F5798"/>
    <w:rsid w:val="000F6196"/>
    <w:rsid w:val="000F65D6"/>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10400"/>
    <w:rsid w:val="001105D3"/>
    <w:rsid w:val="00110D28"/>
    <w:rsid w:val="001110EB"/>
    <w:rsid w:val="00111AE7"/>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2A5D"/>
    <w:rsid w:val="00122E14"/>
    <w:rsid w:val="001230CB"/>
    <w:rsid w:val="00123CB5"/>
    <w:rsid w:val="001250EC"/>
    <w:rsid w:val="00125160"/>
    <w:rsid w:val="00125188"/>
    <w:rsid w:val="0012552E"/>
    <w:rsid w:val="001264F0"/>
    <w:rsid w:val="001270DA"/>
    <w:rsid w:val="001302B0"/>
    <w:rsid w:val="001306EC"/>
    <w:rsid w:val="00130934"/>
    <w:rsid w:val="00130B76"/>
    <w:rsid w:val="00130FD0"/>
    <w:rsid w:val="0013103F"/>
    <w:rsid w:val="001312D5"/>
    <w:rsid w:val="001313E7"/>
    <w:rsid w:val="00132010"/>
    <w:rsid w:val="00133883"/>
    <w:rsid w:val="0013400C"/>
    <w:rsid w:val="00134460"/>
    <w:rsid w:val="0013454D"/>
    <w:rsid w:val="0013462E"/>
    <w:rsid w:val="00135E57"/>
    <w:rsid w:val="00135F56"/>
    <w:rsid w:val="0013609E"/>
    <w:rsid w:val="0013627F"/>
    <w:rsid w:val="00137A9B"/>
    <w:rsid w:val="00137C2D"/>
    <w:rsid w:val="0014033A"/>
    <w:rsid w:val="00141C30"/>
    <w:rsid w:val="00142493"/>
    <w:rsid w:val="0014255A"/>
    <w:rsid w:val="00142978"/>
    <w:rsid w:val="00142C95"/>
    <w:rsid w:val="0014300B"/>
    <w:rsid w:val="0014377B"/>
    <w:rsid w:val="00143A43"/>
    <w:rsid w:val="0014434E"/>
    <w:rsid w:val="00144450"/>
    <w:rsid w:val="0014457C"/>
    <w:rsid w:val="00144594"/>
    <w:rsid w:val="001446FE"/>
    <w:rsid w:val="00145EE6"/>
    <w:rsid w:val="001467D7"/>
    <w:rsid w:val="0014763F"/>
    <w:rsid w:val="001479A7"/>
    <w:rsid w:val="00147BFA"/>
    <w:rsid w:val="001502B3"/>
    <w:rsid w:val="00151CAD"/>
    <w:rsid w:val="0015236F"/>
    <w:rsid w:val="00153D3C"/>
    <w:rsid w:val="001544BE"/>
    <w:rsid w:val="00154CE5"/>
    <w:rsid w:val="00155323"/>
    <w:rsid w:val="00155594"/>
    <w:rsid w:val="00156936"/>
    <w:rsid w:val="00156D31"/>
    <w:rsid w:val="001571EC"/>
    <w:rsid w:val="001576BF"/>
    <w:rsid w:val="00160558"/>
    <w:rsid w:val="00160B31"/>
    <w:rsid w:val="00160EB7"/>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72F8"/>
    <w:rsid w:val="00167E11"/>
    <w:rsid w:val="00170587"/>
    <w:rsid w:val="00170620"/>
    <w:rsid w:val="0017158B"/>
    <w:rsid w:val="00171784"/>
    <w:rsid w:val="00171811"/>
    <w:rsid w:val="0017186A"/>
    <w:rsid w:val="00171F1D"/>
    <w:rsid w:val="00172928"/>
    <w:rsid w:val="001732F9"/>
    <w:rsid w:val="00173D97"/>
    <w:rsid w:val="00173E91"/>
    <w:rsid w:val="00175273"/>
    <w:rsid w:val="0017561A"/>
    <w:rsid w:val="00175FA6"/>
    <w:rsid w:val="00176336"/>
    <w:rsid w:val="00176991"/>
    <w:rsid w:val="00176E7E"/>
    <w:rsid w:val="00177206"/>
    <w:rsid w:val="00177C6F"/>
    <w:rsid w:val="001807CA"/>
    <w:rsid w:val="001809B8"/>
    <w:rsid w:val="00180E3D"/>
    <w:rsid w:val="00180F20"/>
    <w:rsid w:val="00181168"/>
    <w:rsid w:val="00181C85"/>
    <w:rsid w:val="00182583"/>
    <w:rsid w:val="0018266A"/>
    <w:rsid w:val="00182A55"/>
    <w:rsid w:val="001839FE"/>
    <w:rsid w:val="00184F9D"/>
    <w:rsid w:val="00185800"/>
    <w:rsid w:val="00186142"/>
    <w:rsid w:val="001866BB"/>
    <w:rsid w:val="0018789E"/>
    <w:rsid w:val="001902AF"/>
    <w:rsid w:val="001904D0"/>
    <w:rsid w:val="00191961"/>
    <w:rsid w:val="00191D50"/>
    <w:rsid w:val="00191E4F"/>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578"/>
    <w:rsid w:val="001A69AC"/>
    <w:rsid w:val="001A6AF9"/>
    <w:rsid w:val="001A71C0"/>
    <w:rsid w:val="001A75F7"/>
    <w:rsid w:val="001A7E0E"/>
    <w:rsid w:val="001B03DB"/>
    <w:rsid w:val="001B09E5"/>
    <w:rsid w:val="001B0C5E"/>
    <w:rsid w:val="001B1167"/>
    <w:rsid w:val="001B1880"/>
    <w:rsid w:val="001B2145"/>
    <w:rsid w:val="001B23E7"/>
    <w:rsid w:val="001B3303"/>
    <w:rsid w:val="001B37B3"/>
    <w:rsid w:val="001B44B6"/>
    <w:rsid w:val="001B57E1"/>
    <w:rsid w:val="001B580F"/>
    <w:rsid w:val="001B5810"/>
    <w:rsid w:val="001B59AA"/>
    <w:rsid w:val="001B63E7"/>
    <w:rsid w:val="001B64BC"/>
    <w:rsid w:val="001B694D"/>
    <w:rsid w:val="001B73B3"/>
    <w:rsid w:val="001B7AEE"/>
    <w:rsid w:val="001C02B8"/>
    <w:rsid w:val="001C09F8"/>
    <w:rsid w:val="001C0B4F"/>
    <w:rsid w:val="001C16B4"/>
    <w:rsid w:val="001C16F6"/>
    <w:rsid w:val="001C1AED"/>
    <w:rsid w:val="001C228B"/>
    <w:rsid w:val="001C2789"/>
    <w:rsid w:val="001C48CA"/>
    <w:rsid w:val="001C4C74"/>
    <w:rsid w:val="001C518A"/>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2845"/>
    <w:rsid w:val="001E30CE"/>
    <w:rsid w:val="001E31D8"/>
    <w:rsid w:val="001E3DBF"/>
    <w:rsid w:val="001E5AE2"/>
    <w:rsid w:val="001E6020"/>
    <w:rsid w:val="001E6942"/>
    <w:rsid w:val="001E6C1F"/>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40F0"/>
    <w:rsid w:val="001F438C"/>
    <w:rsid w:val="001F4629"/>
    <w:rsid w:val="001F48BC"/>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7162"/>
    <w:rsid w:val="00207204"/>
    <w:rsid w:val="00207224"/>
    <w:rsid w:val="002078C8"/>
    <w:rsid w:val="002101DD"/>
    <w:rsid w:val="00210211"/>
    <w:rsid w:val="00210623"/>
    <w:rsid w:val="002109E3"/>
    <w:rsid w:val="00210F02"/>
    <w:rsid w:val="002119FA"/>
    <w:rsid w:val="00212CAB"/>
    <w:rsid w:val="00213118"/>
    <w:rsid w:val="002136F8"/>
    <w:rsid w:val="00213787"/>
    <w:rsid w:val="00213F5A"/>
    <w:rsid w:val="002140A4"/>
    <w:rsid w:val="00214184"/>
    <w:rsid w:val="002153DF"/>
    <w:rsid w:val="00215664"/>
    <w:rsid w:val="002167D4"/>
    <w:rsid w:val="00216F1E"/>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30755"/>
    <w:rsid w:val="00230AC9"/>
    <w:rsid w:val="002317F5"/>
    <w:rsid w:val="0023301D"/>
    <w:rsid w:val="002336F9"/>
    <w:rsid w:val="00233BC2"/>
    <w:rsid w:val="00233FD3"/>
    <w:rsid w:val="0023448C"/>
    <w:rsid w:val="00234DA2"/>
    <w:rsid w:val="00234E2D"/>
    <w:rsid w:val="0023590D"/>
    <w:rsid w:val="00235C5D"/>
    <w:rsid w:val="002361C0"/>
    <w:rsid w:val="0023688B"/>
    <w:rsid w:val="00237539"/>
    <w:rsid w:val="002377F1"/>
    <w:rsid w:val="00237CFD"/>
    <w:rsid w:val="002418E9"/>
    <w:rsid w:val="00242535"/>
    <w:rsid w:val="00244860"/>
    <w:rsid w:val="00244ECC"/>
    <w:rsid w:val="002464A4"/>
    <w:rsid w:val="00247660"/>
    <w:rsid w:val="0024785F"/>
    <w:rsid w:val="00247D51"/>
    <w:rsid w:val="00247F8C"/>
    <w:rsid w:val="002506E7"/>
    <w:rsid w:val="002507E1"/>
    <w:rsid w:val="002508D1"/>
    <w:rsid w:val="00250A0C"/>
    <w:rsid w:val="00250C99"/>
    <w:rsid w:val="00250D08"/>
    <w:rsid w:val="00250D3C"/>
    <w:rsid w:val="00251643"/>
    <w:rsid w:val="00251E7C"/>
    <w:rsid w:val="0025205E"/>
    <w:rsid w:val="002521ED"/>
    <w:rsid w:val="00252225"/>
    <w:rsid w:val="00252380"/>
    <w:rsid w:val="00252775"/>
    <w:rsid w:val="00253FF9"/>
    <w:rsid w:val="0025518F"/>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6F9"/>
    <w:rsid w:val="00263ED2"/>
    <w:rsid w:val="002643AC"/>
    <w:rsid w:val="00266223"/>
    <w:rsid w:val="00267D15"/>
    <w:rsid w:val="00267E6A"/>
    <w:rsid w:val="00270B72"/>
    <w:rsid w:val="00271836"/>
    <w:rsid w:val="00271F65"/>
    <w:rsid w:val="002726D3"/>
    <w:rsid w:val="00273314"/>
    <w:rsid w:val="00273B16"/>
    <w:rsid w:val="0027419C"/>
    <w:rsid w:val="00274D1B"/>
    <w:rsid w:val="00275EA3"/>
    <w:rsid w:val="0027637E"/>
    <w:rsid w:val="0027645F"/>
    <w:rsid w:val="0027686E"/>
    <w:rsid w:val="00276938"/>
    <w:rsid w:val="00277C93"/>
    <w:rsid w:val="00277DB6"/>
    <w:rsid w:val="0028158C"/>
    <w:rsid w:val="002815BA"/>
    <w:rsid w:val="002817B8"/>
    <w:rsid w:val="00281A69"/>
    <w:rsid w:val="00281FA0"/>
    <w:rsid w:val="00282135"/>
    <w:rsid w:val="002826E5"/>
    <w:rsid w:val="00282D25"/>
    <w:rsid w:val="00282E54"/>
    <w:rsid w:val="00284062"/>
    <w:rsid w:val="00284965"/>
    <w:rsid w:val="002852F5"/>
    <w:rsid w:val="002860F1"/>
    <w:rsid w:val="0028771E"/>
    <w:rsid w:val="00290425"/>
    <w:rsid w:val="002904DF"/>
    <w:rsid w:val="00290688"/>
    <w:rsid w:val="0029079E"/>
    <w:rsid w:val="0029242A"/>
    <w:rsid w:val="002928C7"/>
    <w:rsid w:val="00292CA9"/>
    <w:rsid w:val="00292E63"/>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567"/>
    <w:rsid w:val="002A7F20"/>
    <w:rsid w:val="002B031C"/>
    <w:rsid w:val="002B0F72"/>
    <w:rsid w:val="002B0FEC"/>
    <w:rsid w:val="002B106C"/>
    <w:rsid w:val="002B12C8"/>
    <w:rsid w:val="002B1714"/>
    <w:rsid w:val="002B1A79"/>
    <w:rsid w:val="002B1B24"/>
    <w:rsid w:val="002B338A"/>
    <w:rsid w:val="002B3E0A"/>
    <w:rsid w:val="002B44F9"/>
    <w:rsid w:val="002B452A"/>
    <w:rsid w:val="002B4748"/>
    <w:rsid w:val="002B4C9D"/>
    <w:rsid w:val="002B5486"/>
    <w:rsid w:val="002B57FB"/>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8C8"/>
    <w:rsid w:val="002C55C6"/>
    <w:rsid w:val="002C624F"/>
    <w:rsid w:val="002C64C3"/>
    <w:rsid w:val="002C65F5"/>
    <w:rsid w:val="002C67EB"/>
    <w:rsid w:val="002C7367"/>
    <w:rsid w:val="002C74BD"/>
    <w:rsid w:val="002C7A61"/>
    <w:rsid w:val="002D1537"/>
    <w:rsid w:val="002D183C"/>
    <w:rsid w:val="002D1E4A"/>
    <w:rsid w:val="002D2A25"/>
    <w:rsid w:val="002D2B04"/>
    <w:rsid w:val="002D2C93"/>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48C"/>
    <w:rsid w:val="002E6B3A"/>
    <w:rsid w:val="002E771E"/>
    <w:rsid w:val="002E79F5"/>
    <w:rsid w:val="002E7D51"/>
    <w:rsid w:val="002F0481"/>
    <w:rsid w:val="002F0E10"/>
    <w:rsid w:val="002F112A"/>
    <w:rsid w:val="002F1538"/>
    <w:rsid w:val="002F16B0"/>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60BF"/>
    <w:rsid w:val="0031714E"/>
    <w:rsid w:val="0031776F"/>
    <w:rsid w:val="00320051"/>
    <w:rsid w:val="003207AA"/>
    <w:rsid w:val="00321310"/>
    <w:rsid w:val="0032133A"/>
    <w:rsid w:val="00321ADA"/>
    <w:rsid w:val="003220F6"/>
    <w:rsid w:val="00324A94"/>
    <w:rsid w:val="00324B51"/>
    <w:rsid w:val="00324B9D"/>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6E0"/>
    <w:rsid w:val="00344AE8"/>
    <w:rsid w:val="00344BB8"/>
    <w:rsid w:val="00344CDB"/>
    <w:rsid w:val="00344DF4"/>
    <w:rsid w:val="00344FEA"/>
    <w:rsid w:val="0034542C"/>
    <w:rsid w:val="003455CC"/>
    <w:rsid w:val="003456C9"/>
    <w:rsid w:val="00345D06"/>
    <w:rsid w:val="00346294"/>
    <w:rsid w:val="003462E7"/>
    <w:rsid w:val="00346495"/>
    <w:rsid w:val="00347789"/>
    <w:rsid w:val="00350B28"/>
    <w:rsid w:val="0035176D"/>
    <w:rsid w:val="00351CC2"/>
    <w:rsid w:val="003524FF"/>
    <w:rsid w:val="00352B4C"/>
    <w:rsid w:val="00352E5A"/>
    <w:rsid w:val="00352FF4"/>
    <w:rsid w:val="00353372"/>
    <w:rsid w:val="00353410"/>
    <w:rsid w:val="00353B87"/>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D72"/>
    <w:rsid w:val="003660F3"/>
    <w:rsid w:val="003665AD"/>
    <w:rsid w:val="00366912"/>
    <w:rsid w:val="0036705C"/>
    <w:rsid w:val="0036795D"/>
    <w:rsid w:val="00367A49"/>
    <w:rsid w:val="00367FE5"/>
    <w:rsid w:val="00370082"/>
    <w:rsid w:val="0037087A"/>
    <w:rsid w:val="00370B27"/>
    <w:rsid w:val="003715C5"/>
    <w:rsid w:val="00371D2E"/>
    <w:rsid w:val="00372408"/>
    <w:rsid w:val="0037369F"/>
    <w:rsid w:val="00373955"/>
    <w:rsid w:val="00373C2F"/>
    <w:rsid w:val="00375B5B"/>
    <w:rsid w:val="00375E20"/>
    <w:rsid w:val="003760F1"/>
    <w:rsid w:val="00376DFE"/>
    <w:rsid w:val="00376F6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90544"/>
    <w:rsid w:val="003908AE"/>
    <w:rsid w:val="00390BFA"/>
    <w:rsid w:val="00391744"/>
    <w:rsid w:val="00391CD0"/>
    <w:rsid w:val="00391E9C"/>
    <w:rsid w:val="00392380"/>
    <w:rsid w:val="003924B4"/>
    <w:rsid w:val="003924D9"/>
    <w:rsid w:val="003935CE"/>
    <w:rsid w:val="00393C6B"/>
    <w:rsid w:val="00393F28"/>
    <w:rsid w:val="003940E2"/>
    <w:rsid w:val="00394AB3"/>
    <w:rsid w:val="00395DB2"/>
    <w:rsid w:val="003961FB"/>
    <w:rsid w:val="0039666F"/>
    <w:rsid w:val="00396DB9"/>
    <w:rsid w:val="00396FA0"/>
    <w:rsid w:val="00397E0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17E"/>
    <w:rsid w:val="003B01B0"/>
    <w:rsid w:val="003B0559"/>
    <w:rsid w:val="003B0D6E"/>
    <w:rsid w:val="003B14DC"/>
    <w:rsid w:val="003B1859"/>
    <w:rsid w:val="003B2101"/>
    <w:rsid w:val="003B24CA"/>
    <w:rsid w:val="003B2C05"/>
    <w:rsid w:val="003B2C36"/>
    <w:rsid w:val="003B2EF1"/>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40F9"/>
    <w:rsid w:val="003D49BA"/>
    <w:rsid w:val="003D4B4F"/>
    <w:rsid w:val="003D5A7D"/>
    <w:rsid w:val="003D774B"/>
    <w:rsid w:val="003D775B"/>
    <w:rsid w:val="003E0576"/>
    <w:rsid w:val="003E0703"/>
    <w:rsid w:val="003E13CD"/>
    <w:rsid w:val="003E159E"/>
    <w:rsid w:val="003E1997"/>
    <w:rsid w:val="003E1DB8"/>
    <w:rsid w:val="003E2E08"/>
    <w:rsid w:val="003E3169"/>
    <w:rsid w:val="003E3216"/>
    <w:rsid w:val="003E3520"/>
    <w:rsid w:val="003E3C67"/>
    <w:rsid w:val="003E4384"/>
    <w:rsid w:val="003E44A3"/>
    <w:rsid w:val="003E4551"/>
    <w:rsid w:val="003E47CC"/>
    <w:rsid w:val="003E4FBD"/>
    <w:rsid w:val="003E5070"/>
    <w:rsid w:val="003E6731"/>
    <w:rsid w:val="003E67A8"/>
    <w:rsid w:val="003E6D7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AAE"/>
    <w:rsid w:val="003F6071"/>
    <w:rsid w:val="003F66EA"/>
    <w:rsid w:val="003F7B13"/>
    <w:rsid w:val="004009D9"/>
    <w:rsid w:val="004016FC"/>
    <w:rsid w:val="0040183C"/>
    <w:rsid w:val="0040196C"/>
    <w:rsid w:val="00401D27"/>
    <w:rsid w:val="00401F28"/>
    <w:rsid w:val="00402283"/>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F63"/>
    <w:rsid w:val="00411079"/>
    <w:rsid w:val="00411B37"/>
    <w:rsid w:val="00411F58"/>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9E1"/>
    <w:rsid w:val="00417D5E"/>
    <w:rsid w:val="0042081B"/>
    <w:rsid w:val="00421896"/>
    <w:rsid w:val="00422199"/>
    <w:rsid w:val="004225F5"/>
    <w:rsid w:val="00422E43"/>
    <w:rsid w:val="00422F3F"/>
    <w:rsid w:val="00423DB5"/>
    <w:rsid w:val="00423E69"/>
    <w:rsid w:val="00424F03"/>
    <w:rsid w:val="00424F0E"/>
    <w:rsid w:val="00425277"/>
    <w:rsid w:val="0042549E"/>
    <w:rsid w:val="004255AE"/>
    <w:rsid w:val="00426DB6"/>
    <w:rsid w:val="00426FAC"/>
    <w:rsid w:val="00427216"/>
    <w:rsid w:val="00427244"/>
    <w:rsid w:val="00427CD6"/>
    <w:rsid w:val="004301A1"/>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5D8"/>
    <w:rsid w:val="0044006A"/>
    <w:rsid w:val="00441506"/>
    <w:rsid w:val="00441C82"/>
    <w:rsid w:val="0044220B"/>
    <w:rsid w:val="004422F7"/>
    <w:rsid w:val="00443420"/>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570"/>
    <w:rsid w:val="00457B1E"/>
    <w:rsid w:val="004607E6"/>
    <w:rsid w:val="00460B50"/>
    <w:rsid w:val="00461C6F"/>
    <w:rsid w:val="004622E8"/>
    <w:rsid w:val="004628E8"/>
    <w:rsid w:val="00462ED5"/>
    <w:rsid w:val="004639D2"/>
    <w:rsid w:val="00464032"/>
    <w:rsid w:val="004641E0"/>
    <w:rsid w:val="0046446E"/>
    <w:rsid w:val="00464E7B"/>
    <w:rsid w:val="00465032"/>
    <w:rsid w:val="00466BE2"/>
    <w:rsid w:val="00466D87"/>
    <w:rsid w:val="00470C14"/>
    <w:rsid w:val="0047135A"/>
    <w:rsid w:val="004716A4"/>
    <w:rsid w:val="00471ABE"/>
    <w:rsid w:val="00471AC7"/>
    <w:rsid w:val="00472850"/>
    <w:rsid w:val="00473143"/>
    <w:rsid w:val="004738CF"/>
    <w:rsid w:val="00475507"/>
    <w:rsid w:val="004757BE"/>
    <w:rsid w:val="004757E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708"/>
    <w:rsid w:val="0049152A"/>
    <w:rsid w:val="004919E0"/>
    <w:rsid w:val="004926A3"/>
    <w:rsid w:val="00492A96"/>
    <w:rsid w:val="004937B0"/>
    <w:rsid w:val="00494652"/>
    <w:rsid w:val="00494D7D"/>
    <w:rsid w:val="00495686"/>
    <w:rsid w:val="00495D8B"/>
    <w:rsid w:val="00496B75"/>
    <w:rsid w:val="00496EC0"/>
    <w:rsid w:val="0049725A"/>
    <w:rsid w:val="00497658"/>
    <w:rsid w:val="00497A44"/>
    <w:rsid w:val="00497A57"/>
    <w:rsid w:val="00497EDF"/>
    <w:rsid w:val="004A12CA"/>
    <w:rsid w:val="004A13CA"/>
    <w:rsid w:val="004A1798"/>
    <w:rsid w:val="004A1DF0"/>
    <w:rsid w:val="004A248B"/>
    <w:rsid w:val="004A25D7"/>
    <w:rsid w:val="004A2E91"/>
    <w:rsid w:val="004A33E8"/>
    <w:rsid w:val="004A343D"/>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40D"/>
    <w:rsid w:val="004B249F"/>
    <w:rsid w:val="004B2B9C"/>
    <w:rsid w:val="004B2FC3"/>
    <w:rsid w:val="004B45DA"/>
    <w:rsid w:val="004B4982"/>
    <w:rsid w:val="004B5253"/>
    <w:rsid w:val="004B64D2"/>
    <w:rsid w:val="004B6640"/>
    <w:rsid w:val="004B72F7"/>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5D7"/>
    <w:rsid w:val="004C6B76"/>
    <w:rsid w:val="004C6EC7"/>
    <w:rsid w:val="004C7D74"/>
    <w:rsid w:val="004D13A3"/>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F030E"/>
    <w:rsid w:val="004F0B18"/>
    <w:rsid w:val="004F17DF"/>
    <w:rsid w:val="004F180E"/>
    <w:rsid w:val="004F1B29"/>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6D"/>
    <w:rsid w:val="0050372E"/>
    <w:rsid w:val="0050379B"/>
    <w:rsid w:val="00503A46"/>
    <w:rsid w:val="00503C1B"/>
    <w:rsid w:val="005046A6"/>
    <w:rsid w:val="005046CD"/>
    <w:rsid w:val="00504F65"/>
    <w:rsid w:val="00505974"/>
    <w:rsid w:val="00505CAF"/>
    <w:rsid w:val="005073E7"/>
    <w:rsid w:val="00510601"/>
    <w:rsid w:val="0051076C"/>
    <w:rsid w:val="00510AB0"/>
    <w:rsid w:val="00510C71"/>
    <w:rsid w:val="0051153D"/>
    <w:rsid w:val="00511D24"/>
    <w:rsid w:val="005128FC"/>
    <w:rsid w:val="00512B7D"/>
    <w:rsid w:val="0051330E"/>
    <w:rsid w:val="005134CC"/>
    <w:rsid w:val="00513E55"/>
    <w:rsid w:val="00513F0A"/>
    <w:rsid w:val="00514097"/>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6049"/>
    <w:rsid w:val="00526BBA"/>
    <w:rsid w:val="00527F49"/>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923"/>
    <w:rsid w:val="00545348"/>
    <w:rsid w:val="0054585F"/>
    <w:rsid w:val="00545B86"/>
    <w:rsid w:val="00545EC0"/>
    <w:rsid w:val="00545EF6"/>
    <w:rsid w:val="00546400"/>
    <w:rsid w:val="0054650D"/>
    <w:rsid w:val="00546CC3"/>
    <w:rsid w:val="00547348"/>
    <w:rsid w:val="00547A95"/>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4404"/>
    <w:rsid w:val="00565505"/>
    <w:rsid w:val="005657E3"/>
    <w:rsid w:val="00566868"/>
    <w:rsid w:val="00566E15"/>
    <w:rsid w:val="00567F4A"/>
    <w:rsid w:val="005702BD"/>
    <w:rsid w:val="00570967"/>
    <w:rsid w:val="00570F74"/>
    <w:rsid w:val="00571714"/>
    <w:rsid w:val="00571C36"/>
    <w:rsid w:val="00571F27"/>
    <w:rsid w:val="00571F99"/>
    <w:rsid w:val="0057439C"/>
    <w:rsid w:val="00574709"/>
    <w:rsid w:val="00575582"/>
    <w:rsid w:val="005756F1"/>
    <w:rsid w:val="00580F00"/>
    <w:rsid w:val="005812D5"/>
    <w:rsid w:val="00581482"/>
    <w:rsid w:val="005817B0"/>
    <w:rsid w:val="00581C87"/>
    <w:rsid w:val="0058216E"/>
    <w:rsid w:val="00582DB8"/>
    <w:rsid w:val="00582EEB"/>
    <w:rsid w:val="00583162"/>
    <w:rsid w:val="00583D28"/>
    <w:rsid w:val="00585123"/>
    <w:rsid w:val="005853C9"/>
    <w:rsid w:val="005853F7"/>
    <w:rsid w:val="00585D1A"/>
    <w:rsid w:val="00585D46"/>
    <w:rsid w:val="00586206"/>
    <w:rsid w:val="00586841"/>
    <w:rsid w:val="005870B1"/>
    <w:rsid w:val="00587500"/>
    <w:rsid w:val="005875D1"/>
    <w:rsid w:val="0059025F"/>
    <w:rsid w:val="005907B7"/>
    <w:rsid w:val="00590903"/>
    <w:rsid w:val="00591144"/>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310C"/>
    <w:rsid w:val="005A3132"/>
    <w:rsid w:val="005A3197"/>
    <w:rsid w:val="005A33FB"/>
    <w:rsid w:val="005A343C"/>
    <w:rsid w:val="005A368F"/>
    <w:rsid w:val="005A3AA3"/>
    <w:rsid w:val="005A3CD5"/>
    <w:rsid w:val="005A3F50"/>
    <w:rsid w:val="005A4032"/>
    <w:rsid w:val="005A51DB"/>
    <w:rsid w:val="005A5600"/>
    <w:rsid w:val="005A5671"/>
    <w:rsid w:val="005A632F"/>
    <w:rsid w:val="005A635E"/>
    <w:rsid w:val="005A6FE1"/>
    <w:rsid w:val="005B0922"/>
    <w:rsid w:val="005B1633"/>
    <w:rsid w:val="005B1F64"/>
    <w:rsid w:val="005B23B1"/>
    <w:rsid w:val="005B36FC"/>
    <w:rsid w:val="005B4487"/>
    <w:rsid w:val="005B47DC"/>
    <w:rsid w:val="005B59A1"/>
    <w:rsid w:val="005B5D2B"/>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AF3"/>
    <w:rsid w:val="005C6576"/>
    <w:rsid w:val="005C694E"/>
    <w:rsid w:val="005C6A84"/>
    <w:rsid w:val="005C6B83"/>
    <w:rsid w:val="005C749F"/>
    <w:rsid w:val="005C77C2"/>
    <w:rsid w:val="005C7B00"/>
    <w:rsid w:val="005D045F"/>
    <w:rsid w:val="005D1238"/>
    <w:rsid w:val="005D1552"/>
    <w:rsid w:val="005D1C9F"/>
    <w:rsid w:val="005D1E66"/>
    <w:rsid w:val="005D3C59"/>
    <w:rsid w:val="005D4C0B"/>
    <w:rsid w:val="005D5093"/>
    <w:rsid w:val="005D5B97"/>
    <w:rsid w:val="005D6F96"/>
    <w:rsid w:val="005D76CC"/>
    <w:rsid w:val="005D7A23"/>
    <w:rsid w:val="005D7CCA"/>
    <w:rsid w:val="005E08EF"/>
    <w:rsid w:val="005E0F7B"/>
    <w:rsid w:val="005E14F9"/>
    <w:rsid w:val="005E21E8"/>
    <w:rsid w:val="005E387C"/>
    <w:rsid w:val="005E38C2"/>
    <w:rsid w:val="005E412B"/>
    <w:rsid w:val="005E4F17"/>
    <w:rsid w:val="005E59A0"/>
    <w:rsid w:val="005E5C5A"/>
    <w:rsid w:val="005E7536"/>
    <w:rsid w:val="005F09AC"/>
    <w:rsid w:val="005F0B04"/>
    <w:rsid w:val="005F1863"/>
    <w:rsid w:val="005F20FE"/>
    <w:rsid w:val="005F25C7"/>
    <w:rsid w:val="005F27D1"/>
    <w:rsid w:val="005F2A2A"/>
    <w:rsid w:val="005F2CFA"/>
    <w:rsid w:val="005F3133"/>
    <w:rsid w:val="005F3ABB"/>
    <w:rsid w:val="005F5BEC"/>
    <w:rsid w:val="005F604E"/>
    <w:rsid w:val="005F6144"/>
    <w:rsid w:val="005F726F"/>
    <w:rsid w:val="005F74C3"/>
    <w:rsid w:val="005F74EB"/>
    <w:rsid w:val="0060044F"/>
    <w:rsid w:val="0060058D"/>
    <w:rsid w:val="00600E21"/>
    <w:rsid w:val="0060119A"/>
    <w:rsid w:val="00601211"/>
    <w:rsid w:val="006013BC"/>
    <w:rsid w:val="0060179A"/>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D0E"/>
    <w:rsid w:val="0060630B"/>
    <w:rsid w:val="0060640B"/>
    <w:rsid w:val="00606986"/>
    <w:rsid w:val="00606BB2"/>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6"/>
    <w:rsid w:val="00616ACD"/>
    <w:rsid w:val="0061726E"/>
    <w:rsid w:val="006178F9"/>
    <w:rsid w:val="00617990"/>
    <w:rsid w:val="00617CD7"/>
    <w:rsid w:val="006210B0"/>
    <w:rsid w:val="006215F4"/>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83"/>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34D"/>
    <w:rsid w:val="0064044F"/>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7A"/>
    <w:rsid w:val="00646663"/>
    <w:rsid w:val="00646A75"/>
    <w:rsid w:val="00647273"/>
    <w:rsid w:val="0064738C"/>
    <w:rsid w:val="006478BA"/>
    <w:rsid w:val="00650128"/>
    <w:rsid w:val="0065034D"/>
    <w:rsid w:val="00651AB6"/>
    <w:rsid w:val="00651ED7"/>
    <w:rsid w:val="00652BF6"/>
    <w:rsid w:val="0065323B"/>
    <w:rsid w:val="00653666"/>
    <w:rsid w:val="00653870"/>
    <w:rsid w:val="006544E3"/>
    <w:rsid w:val="00654A6D"/>
    <w:rsid w:val="00654ECF"/>
    <w:rsid w:val="006571E5"/>
    <w:rsid w:val="0065757B"/>
    <w:rsid w:val="00657B33"/>
    <w:rsid w:val="00657B6D"/>
    <w:rsid w:val="006600F8"/>
    <w:rsid w:val="006601D8"/>
    <w:rsid w:val="00660200"/>
    <w:rsid w:val="00660549"/>
    <w:rsid w:val="006607EE"/>
    <w:rsid w:val="00660FC6"/>
    <w:rsid w:val="00661E37"/>
    <w:rsid w:val="00662031"/>
    <w:rsid w:val="00662354"/>
    <w:rsid w:val="00662FF8"/>
    <w:rsid w:val="006634C1"/>
    <w:rsid w:val="006639A3"/>
    <w:rsid w:val="00664637"/>
    <w:rsid w:val="00664705"/>
    <w:rsid w:val="00664A79"/>
    <w:rsid w:val="0066548A"/>
    <w:rsid w:val="006656A6"/>
    <w:rsid w:val="00666041"/>
    <w:rsid w:val="00666529"/>
    <w:rsid w:val="0066667B"/>
    <w:rsid w:val="00666AC3"/>
    <w:rsid w:val="00666DA0"/>
    <w:rsid w:val="0066720F"/>
    <w:rsid w:val="00667786"/>
    <w:rsid w:val="00667CC4"/>
    <w:rsid w:val="00670999"/>
    <w:rsid w:val="00670C91"/>
    <w:rsid w:val="006719D6"/>
    <w:rsid w:val="00671CE3"/>
    <w:rsid w:val="00672BD2"/>
    <w:rsid w:val="00673305"/>
    <w:rsid w:val="006735EE"/>
    <w:rsid w:val="00673681"/>
    <w:rsid w:val="00675934"/>
    <w:rsid w:val="00675E5B"/>
    <w:rsid w:val="00676B76"/>
    <w:rsid w:val="00677090"/>
    <w:rsid w:val="006770B1"/>
    <w:rsid w:val="006774DE"/>
    <w:rsid w:val="00677B89"/>
    <w:rsid w:val="006805BE"/>
    <w:rsid w:val="006807A0"/>
    <w:rsid w:val="00680BBC"/>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A6D"/>
    <w:rsid w:val="00692D3A"/>
    <w:rsid w:val="006930ED"/>
    <w:rsid w:val="0069354D"/>
    <w:rsid w:val="00693C03"/>
    <w:rsid w:val="0069442B"/>
    <w:rsid w:val="0069475E"/>
    <w:rsid w:val="006949B4"/>
    <w:rsid w:val="006954D9"/>
    <w:rsid w:val="00695821"/>
    <w:rsid w:val="00696693"/>
    <w:rsid w:val="00696829"/>
    <w:rsid w:val="00696FA5"/>
    <w:rsid w:val="006A0012"/>
    <w:rsid w:val="006A093A"/>
    <w:rsid w:val="006A0CCF"/>
    <w:rsid w:val="006A0E79"/>
    <w:rsid w:val="006A1194"/>
    <w:rsid w:val="006A1756"/>
    <w:rsid w:val="006A294F"/>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7303"/>
    <w:rsid w:val="006D7429"/>
    <w:rsid w:val="006E142E"/>
    <w:rsid w:val="006E14C8"/>
    <w:rsid w:val="006E16AE"/>
    <w:rsid w:val="006E1792"/>
    <w:rsid w:val="006E1EEA"/>
    <w:rsid w:val="006E2265"/>
    <w:rsid w:val="006E2E66"/>
    <w:rsid w:val="006E310B"/>
    <w:rsid w:val="006E31C9"/>
    <w:rsid w:val="006E3833"/>
    <w:rsid w:val="006E49FE"/>
    <w:rsid w:val="006E4EB0"/>
    <w:rsid w:val="006E5AE3"/>
    <w:rsid w:val="006E5D10"/>
    <w:rsid w:val="006E68E5"/>
    <w:rsid w:val="006E6C06"/>
    <w:rsid w:val="006E6C93"/>
    <w:rsid w:val="006E761F"/>
    <w:rsid w:val="006E775F"/>
    <w:rsid w:val="006E7F80"/>
    <w:rsid w:val="006F016B"/>
    <w:rsid w:val="006F0184"/>
    <w:rsid w:val="006F057E"/>
    <w:rsid w:val="006F0748"/>
    <w:rsid w:val="006F07FE"/>
    <w:rsid w:val="006F0EAC"/>
    <w:rsid w:val="006F12B6"/>
    <w:rsid w:val="006F1805"/>
    <w:rsid w:val="006F1E4B"/>
    <w:rsid w:val="006F208D"/>
    <w:rsid w:val="006F20AD"/>
    <w:rsid w:val="006F2224"/>
    <w:rsid w:val="006F24CB"/>
    <w:rsid w:val="006F25C5"/>
    <w:rsid w:val="006F3BFD"/>
    <w:rsid w:val="006F3D93"/>
    <w:rsid w:val="006F4622"/>
    <w:rsid w:val="006F47B6"/>
    <w:rsid w:val="006F4F0A"/>
    <w:rsid w:val="006F620B"/>
    <w:rsid w:val="006F69A1"/>
    <w:rsid w:val="006F6AC6"/>
    <w:rsid w:val="006F6B4D"/>
    <w:rsid w:val="00700E71"/>
    <w:rsid w:val="0070166B"/>
    <w:rsid w:val="007018FF"/>
    <w:rsid w:val="0070197F"/>
    <w:rsid w:val="00701FB2"/>
    <w:rsid w:val="007020F0"/>
    <w:rsid w:val="00703046"/>
    <w:rsid w:val="0070345F"/>
    <w:rsid w:val="0070395A"/>
    <w:rsid w:val="007040CC"/>
    <w:rsid w:val="00704252"/>
    <w:rsid w:val="00704510"/>
    <w:rsid w:val="007046DC"/>
    <w:rsid w:val="0070470C"/>
    <w:rsid w:val="00704A78"/>
    <w:rsid w:val="007053F6"/>
    <w:rsid w:val="007055BC"/>
    <w:rsid w:val="00705B66"/>
    <w:rsid w:val="007061E9"/>
    <w:rsid w:val="007067ED"/>
    <w:rsid w:val="007071F3"/>
    <w:rsid w:val="00707344"/>
    <w:rsid w:val="007102B9"/>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CAE"/>
    <w:rsid w:val="0072211E"/>
    <w:rsid w:val="00722B1D"/>
    <w:rsid w:val="007233C5"/>
    <w:rsid w:val="00723BE7"/>
    <w:rsid w:val="0072528C"/>
    <w:rsid w:val="007266DA"/>
    <w:rsid w:val="007267A4"/>
    <w:rsid w:val="007270CA"/>
    <w:rsid w:val="00727217"/>
    <w:rsid w:val="007274EC"/>
    <w:rsid w:val="00727A7A"/>
    <w:rsid w:val="00727C88"/>
    <w:rsid w:val="00732AA5"/>
    <w:rsid w:val="00733126"/>
    <w:rsid w:val="00733769"/>
    <w:rsid w:val="00735D50"/>
    <w:rsid w:val="007360A8"/>
    <w:rsid w:val="007360C1"/>
    <w:rsid w:val="0073632A"/>
    <w:rsid w:val="00736815"/>
    <w:rsid w:val="00737E27"/>
    <w:rsid w:val="0074093A"/>
    <w:rsid w:val="00741E95"/>
    <w:rsid w:val="00742281"/>
    <w:rsid w:val="00743CFE"/>
    <w:rsid w:val="00744DD1"/>
    <w:rsid w:val="00745C41"/>
    <w:rsid w:val="00747A68"/>
    <w:rsid w:val="007518E4"/>
    <w:rsid w:val="00751C09"/>
    <w:rsid w:val="007526C2"/>
    <w:rsid w:val="00752EB9"/>
    <w:rsid w:val="0075337C"/>
    <w:rsid w:val="0075397D"/>
    <w:rsid w:val="00754035"/>
    <w:rsid w:val="007547C7"/>
    <w:rsid w:val="00754D70"/>
    <w:rsid w:val="007552CF"/>
    <w:rsid w:val="007558BB"/>
    <w:rsid w:val="00755C2B"/>
    <w:rsid w:val="00755DA6"/>
    <w:rsid w:val="007563C3"/>
    <w:rsid w:val="007568A4"/>
    <w:rsid w:val="00756A68"/>
    <w:rsid w:val="00756D20"/>
    <w:rsid w:val="00756EE0"/>
    <w:rsid w:val="00756F0C"/>
    <w:rsid w:val="00757465"/>
    <w:rsid w:val="00757597"/>
    <w:rsid w:val="007601C6"/>
    <w:rsid w:val="00760A1E"/>
    <w:rsid w:val="00760CBF"/>
    <w:rsid w:val="0076161D"/>
    <w:rsid w:val="00762088"/>
    <w:rsid w:val="007630DE"/>
    <w:rsid w:val="007637FC"/>
    <w:rsid w:val="00763C82"/>
    <w:rsid w:val="00764057"/>
    <w:rsid w:val="007644F8"/>
    <w:rsid w:val="00764BAD"/>
    <w:rsid w:val="00764C0B"/>
    <w:rsid w:val="00764C52"/>
    <w:rsid w:val="00765456"/>
    <w:rsid w:val="00765A29"/>
    <w:rsid w:val="00766754"/>
    <w:rsid w:val="0076697C"/>
    <w:rsid w:val="00766AA5"/>
    <w:rsid w:val="00767357"/>
    <w:rsid w:val="007675D8"/>
    <w:rsid w:val="007675FD"/>
    <w:rsid w:val="007676DA"/>
    <w:rsid w:val="00767A9E"/>
    <w:rsid w:val="00767D4D"/>
    <w:rsid w:val="00770501"/>
    <w:rsid w:val="00770EB1"/>
    <w:rsid w:val="007713A5"/>
    <w:rsid w:val="007714E1"/>
    <w:rsid w:val="00771E4B"/>
    <w:rsid w:val="00772363"/>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72CF"/>
    <w:rsid w:val="0077772B"/>
    <w:rsid w:val="0077786C"/>
    <w:rsid w:val="00780C23"/>
    <w:rsid w:val="00780E57"/>
    <w:rsid w:val="00781011"/>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91A17"/>
    <w:rsid w:val="007921C9"/>
    <w:rsid w:val="00793011"/>
    <w:rsid w:val="00793181"/>
    <w:rsid w:val="00794437"/>
    <w:rsid w:val="00794545"/>
    <w:rsid w:val="007958A8"/>
    <w:rsid w:val="00796A98"/>
    <w:rsid w:val="00796CDE"/>
    <w:rsid w:val="00797065"/>
    <w:rsid w:val="007973BF"/>
    <w:rsid w:val="0079772A"/>
    <w:rsid w:val="00797EC3"/>
    <w:rsid w:val="00797F80"/>
    <w:rsid w:val="007A12ED"/>
    <w:rsid w:val="007A1411"/>
    <w:rsid w:val="007A16C7"/>
    <w:rsid w:val="007A1936"/>
    <w:rsid w:val="007A23D1"/>
    <w:rsid w:val="007A2907"/>
    <w:rsid w:val="007A2AC1"/>
    <w:rsid w:val="007A2CAE"/>
    <w:rsid w:val="007A2DFE"/>
    <w:rsid w:val="007A30CC"/>
    <w:rsid w:val="007A354D"/>
    <w:rsid w:val="007A36F3"/>
    <w:rsid w:val="007A3784"/>
    <w:rsid w:val="007A3CF6"/>
    <w:rsid w:val="007A3D8D"/>
    <w:rsid w:val="007A3E24"/>
    <w:rsid w:val="007A47C0"/>
    <w:rsid w:val="007A4C4E"/>
    <w:rsid w:val="007A4D9F"/>
    <w:rsid w:val="007A52B4"/>
    <w:rsid w:val="007A57E1"/>
    <w:rsid w:val="007A604B"/>
    <w:rsid w:val="007A6186"/>
    <w:rsid w:val="007A6D3A"/>
    <w:rsid w:val="007A6F7C"/>
    <w:rsid w:val="007A7668"/>
    <w:rsid w:val="007A7E18"/>
    <w:rsid w:val="007B037C"/>
    <w:rsid w:val="007B050A"/>
    <w:rsid w:val="007B1905"/>
    <w:rsid w:val="007B1EE7"/>
    <w:rsid w:val="007B25BE"/>
    <w:rsid w:val="007B2C2E"/>
    <w:rsid w:val="007B33FE"/>
    <w:rsid w:val="007B340F"/>
    <w:rsid w:val="007B3E39"/>
    <w:rsid w:val="007B4EAC"/>
    <w:rsid w:val="007B5545"/>
    <w:rsid w:val="007B56F8"/>
    <w:rsid w:val="007B5741"/>
    <w:rsid w:val="007B57D8"/>
    <w:rsid w:val="007B5BD7"/>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5F58"/>
    <w:rsid w:val="007C6833"/>
    <w:rsid w:val="007C6E24"/>
    <w:rsid w:val="007C701F"/>
    <w:rsid w:val="007C7E3A"/>
    <w:rsid w:val="007D07B4"/>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7BF"/>
    <w:rsid w:val="007D78CC"/>
    <w:rsid w:val="007E075E"/>
    <w:rsid w:val="007E1342"/>
    <w:rsid w:val="007E183C"/>
    <w:rsid w:val="007E19C5"/>
    <w:rsid w:val="007E1A2A"/>
    <w:rsid w:val="007E29A5"/>
    <w:rsid w:val="007E390D"/>
    <w:rsid w:val="007E3DB0"/>
    <w:rsid w:val="007E3F04"/>
    <w:rsid w:val="007E456F"/>
    <w:rsid w:val="007E5BF4"/>
    <w:rsid w:val="007E652E"/>
    <w:rsid w:val="007E68E0"/>
    <w:rsid w:val="007E6D4B"/>
    <w:rsid w:val="007F06F0"/>
    <w:rsid w:val="007F0FF9"/>
    <w:rsid w:val="007F1685"/>
    <w:rsid w:val="007F19D9"/>
    <w:rsid w:val="007F23C6"/>
    <w:rsid w:val="007F2A4B"/>
    <w:rsid w:val="007F2C64"/>
    <w:rsid w:val="007F3049"/>
    <w:rsid w:val="007F32ED"/>
    <w:rsid w:val="007F395A"/>
    <w:rsid w:val="007F411C"/>
    <w:rsid w:val="007F50EF"/>
    <w:rsid w:val="007F5265"/>
    <w:rsid w:val="007F5533"/>
    <w:rsid w:val="007F6449"/>
    <w:rsid w:val="007F67A7"/>
    <w:rsid w:val="007F68B0"/>
    <w:rsid w:val="007F6BCD"/>
    <w:rsid w:val="00800DA3"/>
    <w:rsid w:val="0080193B"/>
    <w:rsid w:val="00801C89"/>
    <w:rsid w:val="0080243D"/>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54A5"/>
    <w:rsid w:val="00815AC7"/>
    <w:rsid w:val="008160CB"/>
    <w:rsid w:val="00816686"/>
    <w:rsid w:val="00816ED5"/>
    <w:rsid w:val="00817477"/>
    <w:rsid w:val="008208B1"/>
    <w:rsid w:val="0082181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611"/>
    <w:rsid w:val="00826651"/>
    <w:rsid w:val="00826C5C"/>
    <w:rsid w:val="008307CA"/>
    <w:rsid w:val="0083083B"/>
    <w:rsid w:val="00830D46"/>
    <w:rsid w:val="00830FD3"/>
    <w:rsid w:val="008319EE"/>
    <w:rsid w:val="00831E23"/>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3091"/>
    <w:rsid w:val="008430BD"/>
    <w:rsid w:val="008431C2"/>
    <w:rsid w:val="00843430"/>
    <w:rsid w:val="008434CD"/>
    <w:rsid w:val="008436FA"/>
    <w:rsid w:val="00843CA0"/>
    <w:rsid w:val="00844222"/>
    <w:rsid w:val="0084428E"/>
    <w:rsid w:val="0084477E"/>
    <w:rsid w:val="00844981"/>
    <w:rsid w:val="00844C82"/>
    <w:rsid w:val="00844FA2"/>
    <w:rsid w:val="00845129"/>
    <w:rsid w:val="0084523D"/>
    <w:rsid w:val="0084583C"/>
    <w:rsid w:val="00845D04"/>
    <w:rsid w:val="00846477"/>
    <w:rsid w:val="0084673E"/>
    <w:rsid w:val="00846BFA"/>
    <w:rsid w:val="00846CEF"/>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75A4"/>
    <w:rsid w:val="00857607"/>
    <w:rsid w:val="00857678"/>
    <w:rsid w:val="0086005B"/>
    <w:rsid w:val="00860B2F"/>
    <w:rsid w:val="00862D91"/>
    <w:rsid w:val="00862F3D"/>
    <w:rsid w:val="00862FF8"/>
    <w:rsid w:val="00863063"/>
    <w:rsid w:val="008634F8"/>
    <w:rsid w:val="008634FE"/>
    <w:rsid w:val="0086378F"/>
    <w:rsid w:val="00863BEA"/>
    <w:rsid w:val="00863D5D"/>
    <w:rsid w:val="00863F74"/>
    <w:rsid w:val="00864807"/>
    <w:rsid w:val="00864906"/>
    <w:rsid w:val="00865746"/>
    <w:rsid w:val="00866261"/>
    <w:rsid w:val="0086667E"/>
    <w:rsid w:val="0086756C"/>
    <w:rsid w:val="00867D18"/>
    <w:rsid w:val="0087033D"/>
    <w:rsid w:val="00870936"/>
    <w:rsid w:val="008709BF"/>
    <w:rsid w:val="00870A27"/>
    <w:rsid w:val="00871456"/>
    <w:rsid w:val="008716C8"/>
    <w:rsid w:val="008717DF"/>
    <w:rsid w:val="00872397"/>
    <w:rsid w:val="008724BA"/>
    <w:rsid w:val="00873094"/>
    <w:rsid w:val="00873169"/>
    <w:rsid w:val="0087322A"/>
    <w:rsid w:val="00873969"/>
    <w:rsid w:val="00873C81"/>
    <w:rsid w:val="008749AE"/>
    <w:rsid w:val="008756AA"/>
    <w:rsid w:val="00875B44"/>
    <w:rsid w:val="00875B92"/>
    <w:rsid w:val="00875BB6"/>
    <w:rsid w:val="00875E07"/>
    <w:rsid w:val="0087666A"/>
    <w:rsid w:val="00876841"/>
    <w:rsid w:val="00876BBC"/>
    <w:rsid w:val="008772EE"/>
    <w:rsid w:val="00877B86"/>
    <w:rsid w:val="00880C13"/>
    <w:rsid w:val="00880EF7"/>
    <w:rsid w:val="008811F5"/>
    <w:rsid w:val="008813FA"/>
    <w:rsid w:val="00881678"/>
    <w:rsid w:val="0088176C"/>
    <w:rsid w:val="00881919"/>
    <w:rsid w:val="0088201E"/>
    <w:rsid w:val="0088266D"/>
    <w:rsid w:val="00882995"/>
    <w:rsid w:val="00882BCC"/>
    <w:rsid w:val="00882C98"/>
    <w:rsid w:val="00883D21"/>
    <w:rsid w:val="00883E00"/>
    <w:rsid w:val="00884064"/>
    <w:rsid w:val="00884918"/>
    <w:rsid w:val="00884A0C"/>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FF"/>
    <w:rsid w:val="008977BA"/>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95C"/>
    <w:rsid w:val="008A69EB"/>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49F"/>
    <w:rsid w:val="008B3B72"/>
    <w:rsid w:val="008B4875"/>
    <w:rsid w:val="008B491A"/>
    <w:rsid w:val="008B563B"/>
    <w:rsid w:val="008B57B6"/>
    <w:rsid w:val="008B5DF1"/>
    <w:rsid w:val="008B6443"/>
    <w:rsid w:val="008B6962"/>
    <w:rsid w:val="008B6BC9"/>
    <w:rsid w:val="008B6C46"/>
    <w:rsid w:val="008B6C94"/>
    <w:rsid w:val="008B7636"/>
    <w:rsid w:val="008B7AE0"/>
    <w:rsid w:val="008C012C"/>
    <w:rsid w:val="008C0284"/>
    <w:rsid w:val="008C05DB"/>
    <w:rsid w:val="008C062B"/>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2F44"/>
    <w:rsid w:val="008E30F9"/>
    <w:rsid w:val="008E3499"/>
    <w:rsid w:val="008E4993"/>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EFF"/>
    <w:rsid w:val="00910A66"/>
    <w:rsid w:val="00910FDE"/>
    <w:rsid w:val="009126B9"/>
    <w:rsid w:val="00912FA8"/>
    <w:rsid w:val="0091357E"/>
    <w:rsid w:val="00913A6A"/>
    <w:rsid w:val="00913ABB"/>
    <w:rsid w:val="00913C0A"/>
    <w:rsid w:val="009147BF"/>
    <w:rsid w:val="00915775"/>
    <w:rsid w:val="00915BE2"/>
    <w:rsid w:val="00915C89"/>
    <w:rsid w:val="00916B66"/>
    <w:rsid w:val="00916CCA"/>
    <w:rsid w:val="009175CD"/>
    <w:rsid w:val="009177BB"/>
    <w:rsid w:val="00917CC4"/>
    <w:rsid w:val="009204CB"/>
    <w:rsid w:val="00920BAD"/>
    <w:rsid w:val="00921111"/>
    <w:rsid w:val="0092187E"/>
    <w:rsid w:val="00921DB0"/>
    <w:rsid w:val="00921EDB"/>
    <w:rsid w:val="00923204"/>
    <w:rsid w:val="009237F0"/>
    <w:rsid w:val="00924314"/>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A5C"/>
    <w:rsid w:val="00932CE5"/>
    <w:rsid w:val="00932D58"/>
    <w:rsid w:val="0093323F"/>
    <w:rsid w:val="009332F2"/>
    <w:rsid w:val="009336CF"/>
    <w:rsid w:val="00933936"/>
    <w:rsid w:val="009339E5"/>
    <w:rsid w:val="00934043"/>
    <w:rsid w:val="009340C9"/>
    <w:rsid w:val="00934FF8"/>
    <w:rsid w:val="00935A24"/>
    <w:rsid w:val="00935B56"/>
    <w:rsid w:val="009364EC"/>
    <w:rsid w:val="009366F7"/>
    <w:rsid w:val="00937625"/>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D8A"/>
    <w:rsid w:val="00947253"/>
    <w:rsid w:val="0094737A"/>
    <w:rsid w:val="00947894"/>
    <w:rsid w:val="00947C80"/>
    <w:rsid w:val="00947E5F"/>
    <w:rsid w:val="00950041"/>
    <w:rsid w:val="009505AD"/>
    <w:rsid w:val="00950B1C"/>
    <w:rsid w:val="00952FC2"/>
    <w:rsid w:val="00953960"/>
    <w:rsid w:val="00953C0A"/>
    <w:rsid w:val="009540C9"/>
    <w:rsid w:val="00954E99"/>
    <w:rsid w:val="00954F9C"/>
    <w:rsid w:val="0095503E"/>
    <w:rsid w:val="00955043"/>
    <w:rsid w:val="00956D23"/>
    <w:rsid w:val="00956DDF"/>
    <w:rsid w:val="00956F82"/>
    <w:rsid w:val="0095711E"/>
    <w:rsid w:val="00957476"/>
    <w:rsid w:val="00957F3E"/>
    <w:rsid w:val="00957F95"/>
    <w:rsid w:val="0096030F"/>
    <w:rsid w:val="00960B54"/>
    <w:rsid w:val="00960CEA"/>
    <w:rsid w:val="009622FC"/>
    <w:rsid w:val="00962837"/>
    <w:rsid w:val="00962A68"/>
    <w:rsid w:val="009636C2"/>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51D"/>
    <w:rsid w:val="009777FE"/>
    <w:rsid w:val="00977C8F"/>
    <w:rsid w:val="00980673"/>
    <w:rsid w:val="00980ADC"/>
    <w:rsid w:val="00980FD2"/>
    <w:rsid w:val="009812A9"/>
    <w:rsid w:val="00981824"/>
    <w:rsid w:val="00981ABD"/>
    <w:rsid w:val="00982096"/>
    <w:rsid w:val="009830E3"/>
    <w:rsid w:val="00983E18"/>
    <w:rsid w:val="00983FE4"/>
    <w:rsid w:val="009840EA"/>
    <w:rsid w:val="009847C6"/>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EE"/>
    <w:rsid w:val="00997E81"/>
    <w:rsid w:val="009A0E16"/>
    <w:rsid w:val="009A187A"/>
    <w:rsid w:val="009A1E1E"/>
    <w:rsid w:val="009A2C69"/>
    <w:rsid w:val="009A3C0F"/>
    <w:rsid w:val="009A4C2C"/>
    <w:rsid w:val="009A53D6"/>
    <w:rsid w:val="009A59A2"/>
    <w:rsid w:val="009A6ECD"/>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5DD"/>
    <w:rsid w:val="009C001F"/>
    <w:rsid w:val="009C0165"/>
    <w:rsid w:val="009C04C9"/>
    <w:rsid w:val="009C0C11"/>
    <w:rsid w:val="009C0FEA"/>
    <w:rsid w:val="009C1F56"/>
    <w:rsid w:val="009C2111"/>
    <w:rsid w:val="009C267E"/>
    <w:rsid w:val="009C3E99"/>
    <w:rsid w:val="009C4910"/>
    <w:rsid w:val="009C4965"/>
    <w:rsid w:val="009C654A"/>
    <w:rsid w:val="009C6C0A"/>
    <w:rsid w:val="009C7AAC"/>
    <w:rsid w:val="009D027F"/>
    <w:rsid w:val="009D02AA"/>
    <w:rsid w:val="009D0386"/>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4B5F"/>
    <w:rsid w:val="009D512D"/>
    <w:rsid w:val="009D51A2"/>
    <w:rsid w:val="009D51C8"/>
    <w:rsid w:val="009D6AAE"/>
    <w:rsid w:val="009D6F2C"/>
    <w:rsid w:val="009D711E"/>
    <w:rsid w:val="009D7301"/>
    <w:rsid w:val="009D7817"/>
    <w:rsid w:val="009D79C9"/>
    <w:rsid w:val="009E0373"/>
    <w:rsid w:val="009E0387"/>
    <w:rsid w:val="009E0869"/>
    <w:rsid w:val="009E140E"/>
    <w:rsid w:val="009E2B8F"/>
    <w:rsid w:val="009E31A0"/>
    <w:rsid w:val="009E31E9"/>
    <w:rsid w:val="009E36E4"/>
    <w:rsid w:val="009E5613"/>
    <w:rsid w:val="009E59CA"/>
    <w:rsid w:val="009E5D7C"/>
    <w:rsid w:val="009E65F4"/>
    <w:rsid w:val="009E68FC"/>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73E"/>
    <w:rsid w:val="009F683B"/>
    <w:rsid w:val="009F754C"/>
    <w:rsid w:val="009F75AE"/>
    <w:rsid w:val="009F7DEF"/>
    <w:rsid w:val="009F7E8C"/>
    <w:rsid w:val="00A005E7"/>
    <w:rsid w:val="00A00783"/>
    <w:rsid w:val="00A02032"/>
    <w:rsid w:val="00A02629"/>
    <w:rsid w:val="00A03447"/>
    <w:rsid w:val="00A03B42"/>
    <w:rsid w:val="00A04334"/>
    <w:rsid w:val="00A045AA"/>
    <w:rsid w:val="00A04B9D"/>
    <w:rsid w:val="00A05998"/>
    <w:rsid w:val="00A06E15"/>
    <w:rsid w:val="00A07160"/>
    <w:rsid w:val="00A0757D"/>
    <w:rsid w:val="00A10829"/>
    <w:rsid w:val="00A10B96"/>
    <w:rsid w:val="00A10E9D"/>
    <w:rsid w:val="00A11736"/>
    <w:rsid w:val="00A1184F"/>
    <w:rsid w:val="00A11951"/>
    <w:rsid w:val="00A11BE8"/>
    <w:rsid w:val="00A11C7D"/>
    <w:rsid w:val="00A11CE9"/>
    <w:rsid w:val="00A124FF"/>
    <w:rsid w:val="00A12502"/>
    <w:rsid w:val="00A127F3"/>
    <w:rsid w:val="00A129FA"/>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794"/>
    <w:rsid w:val="00A36974"/>
    <w:rsid w:val="00A36BE1"/>
    <w:rsid w:val="00A37288"/>
    <w:rsid w:val="00A37B19"/>
    <w:rsid w:val="00A37CFD"/>
    <w:rsid w:val="00A40731"/>
    <w:rsid w:val="00A41427"/>
    <w:rsid w:val="00A4193F"/>
    <w:rsid w:val="00A419AA"/>
    <w:rsid w:val="00A41CE4"/>
    <w:rsid w:val="00A4248B"/>
    <w:rsid w:val="00A4264A"/>
    <w:rsid w:val="00A43A5A"/>
    <w:rsid w:val="00A44049"/>
    <w:rsid w:val="00A44EBD"/>
    <w:rsid w:val="00A44FB5"/>
    <w:rsid w:val="00A452C5"/>
    <w:rsid w:val="00A4544A"/>
    <w:rsid w:val="00A463EC"/>
    <w:rsid w:val="00A46849"/>
    <w:rsid w:val="00A47203"/>
    <w:rsid w:val="00A47369"/>
    <w:rsid w:val="00A474A8"/>
    <w:rsid w:val="00A47DB9"/>
    <w:rsid w:val="00A50BC9"/>
    <w:rsid w:val="00A510FC"/>
    <w:rsid w:val="00A51691"/>
    <w:rsid w:val="00A51C20"/>
    <w:rsid w:val="00A527DA"/>
    <w:rsid w:val="00A52977"/>
    <w:rsid w:val="00A52F78"/>
    <w:rsid w:val="00A533C5"/>
    <w:rsid w:val="00A53AAF"/>
    <w:rsid w:val="00A548CA"/>
    <w:rsid w:val="00A54A46"/>
    <w:rsid w:val="00A54B46"/>
    <w:rsid w:val="00A54DF9"/>
    <w:rsid w:val="00A551C4"/>
    <w:rsid w:val="00A551E4"/>
    <w:rsid w:val="00A55569"/>
    <w:rsid w:val="00A55A55"/>
    <w:rsid w:val="00A55CB8"/>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727"/>
    <w:rsid w:val="00A66F82"/>
    <w:rsid w:val="00A675FA"/>
    <w:rsid w:val="00A705EF"/>
    <w:rsid w:val="00A70AA5"/>
    <w:rsid w:val="00A70E06"/>
    <w:rsid w:val="00A71443"/>
    <w:rsid w:val="00A71677"/>
    <w:rsid w:val="00A717AF"/>
    <w:rsid w:val="00A71D5C"/>
    <w:rsid w:val="00A72120"/>
    <w:rsid w:val="00A72409"/>
    <w:rsid w:val="00A7298E"/>
    <w:rsid w:val="00A72F68"/>
    <w:rsid w:val="00A72FCD"/>
    <w:rsid w:val="00A73031"/>
    <w:rsid w:val="00A732F7"/>
    <w:rsid w:val="00A73413"/>
    <w:rsid w:val="00A7367F"/>
    <w:rsid w:val="00A747BE"/>
    <w:rsid w:val="00A74A63"/>
    <w:rsid w:val="00A74DEF"/>
    <w:rsid w:val="00A75754"/>
    <w:rsid w:val="00A776E5"/>
    <w:rsid w:val="00A77979"/>
    <w:rsid w:val="00A779C0"/>
    <w:rsid w:val="00A77E10"/>
    <w:rsid w:val="00A805A8"/>
    <w:rsid w:val="00A8098B"/>
    <w:rsid w:val="00A810F9"/>
    <w:rsid w:val="00A81881"/>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284F"/>
    <w:rsid w:val="00A928B5"/>
    <w:rsid w:val="00A92941"/>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E1"/>
    <w:rsid w:val="00AA2FC5"/>
    <w:rsid w:val="00AA32E2"/>
    <w:rsid w:val="00AA36F1"/>
    <w:rsid w:val="00AA440D"/>
    <w:rsid w:val="00AA4529"/>
    <w:rsid w:val="00AA4843"/>
    <w:rsid w:val="00AA5400"/>
    <w:rsid w:val="00AA5401"/>
    <w:rsid w:val="00AA59D9"/>
    <w:rsid w:val="00AA6110"/>
    <w:rsid w:val="00AA625E"/>
    <w:rsid w:val="00AA62AD"/>
    <w:rsid w:val="00AA6B91"/>
    <w:rsid w:val="00AA7058"/>
    <w:rsid w:val="00AA714E"/>
    <w:rsid w:val="00AA71D3"/>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B67"/>
    <w:rsid w:val="00AB5388"/>
    <w:rsid w:val="00AB64A5"/>
    <w:rsid w:val="00AB6CCF"/>
    <w:rsid w:val="00AB6E9F"/>
    <w:rsid w:val="00AB7882"/>
    <w:rsid w:val="00AC2F08"/>
    <w:rsid w:val="00AC322C"/>
    <w:rsid w:val="00AC375C"/>
    <w:rsid w:val="00AC3C0A"/>
    <w:rsid w:val="00AC44DA"/>
    <w:rsid w:val="00AC58EE"/>
    <w:rsid w:val="00AC5A84"/>
    <w:rsid w:val="00AC5B06"/>
    <w:rsid w:val="00AC616B"/>
    <w:rsid w:val="00AC6393"/>
    <w:rsid w:val="00AC64E0"/>
    <w:rsid w:val="00AC6E52"/>
    <w:rsid w:val="00AC6E68"/>
    <w:rsid w:val="00AC7809"/>
    <w:rsid w:val="00AD09D6"/>
    <w:rsid w:val="00AD14C5"/>
    <w:rsid w:val="00AD1A12"/>
    <w:rsid w:val="00AD1D49"/>
    <w:rsid w:val="00AD1E17"/>
    <w:rsid w:val="00AD2C1D"/>
    <w:rsid w:val="00AD359F"/>
    <w:rsid w:val="00AD370D"/>
    <w:rsid w:val="00AD391F"/>
    <w:rsid w:val="00AD39BD"/>
    <w:rsid w:val="00AD3B5E"/>
    <w:rsid w:val="00AD4765"/>
    <w:rsid w:val="00AD4910"/>
    <w:rsid w:val="00AD54A8"/>
    <w:rsid w:val="00AD56B0"/>
    <w:rsid w:val="00AD5777"/>
    <w:rsid w:val="00AD5B0F"/>
    <w:rsid w:val="00AD5C54"/>
    <w:rsid w:val="00AD5D47"/>
    <w:rsid w:val="00AD60B6"/>
    <w:rsid w:val="00AD67C5"/>
    <w:rsid w:val="00AD682F"/>
    <w:rsid w:val="00AD6ECC"/>
    <w:rsid w:val="00AD72FE"/>
    <w:rsid w:val="00AD7B49"/>
    <w:rsid w:val="00AE02B5"/>
    <w:rsid w:val="00AE0628"/>
    <w:rsid w:val="00AE0FE0"/>
    <w:rsid w:val="00AE10EF"/>
    <w:rsid w:val="00AE2C04"/>
    <w:rsid w:val="00AE2D5E"/>
    <w:rsid w:val="00AE35A5"/>
    <w:rsid w:val="00AE448D"/>
    <w:rsid w:val="00AE617A"/>
    <w:rsid w:val="00AE6F10"/>
    <w:rsid w:val="00AE7103"/>
    <w:rsid w:val="00AE7601"/>
    <w:rsid w:val="00AE79A7"/>
    <w:rsid w:val="00AF03FB"/>
    <w:rsid w:val="00AF10EF"/>
    <w:rsid w:val="00AF1DA6"/>
    <w:rsid w:val="00AF1F11"/>
    <w:rsid w:val="00AF1FB9"/>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DE"/>
    <w:rsid w:val="00B00194"/>
    <w:rsid w:val="00B00429"/>
    <w:rsid w:val="00B00F80"/>
    <w:rsid w:val="00B0116A"/>
    <w:rsid w:val="00B036B5"/>
    <w:rsid w:val="00B03BB0"/>
    <w:rsid w:val="00B03CBB"/>
    <w:rsid w:val="00B03DC1"/>
    <w:rsid w:val="00B04236"/>
    <w:rsid w:val="00B04283"/>
    <w:rsid w:val="00B0467A"/>
    <w:rsid w:val="00B04FBE"/>
    <w:rsid w:val="00B055BB"/>
    <w:rsid w:val="00B06023"/>
    <w:rsid w:val="00B06519"/>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BD2"/>
    <w:rsid w:val="00B31C1E"/>
    <w:rsid w:val="00B32262"/>
    <w:rsid w:val="00B33739"/>
    <w:rsid w:val="00B338FE"/>
    <w:rsid w:val="00B3473B"/>
    <w:rsid w:val="00B349F7"/>
    <w:rsid w:val="00B34A2B"/>
    <w:rsid w:val="00B35BA7"/>
    <w:rsid w:val="00B36432"/>
    <w:rsid w:val="00B367C6"/>
    <w:rsid w:val="00B37394"/>
    <w:rsid w:val="00B37504"/>
    <w:rsid w:val="00B37823"/>
    <w:rsid w:val="00B37F24"/>
    <w:rsid w:val="00B418E2"/>
    <w:rsid w:val="00B425DF"/>
    <w:rsid w:val="00B42A6C"/>
    <w:rsid w:val="00B42E7B"/>
    <w:rsid w:val="00B436B0"/>
    <w:rsid w:val="00B43DA7"/>
    <w:rsid w:val="00B44060"/>
    <w:rsid w:val="00B453C5"/>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7204"/>
    <w:rsid w:val="00B575F1"/>
    <w:rsid w:val="00B6001D"/>
    <w:rsid w:val="00B6059C"/>
    <w:rsid w:val="00B60AC8"/>
    <w:rsid w:val="00B60EEF"/>
    <w:rsid w:val="00B61527"/>
    <w:rsid w:val="00B616F9"/>
    <w:rsid w:val="00B61BB9"/>
    <w:rsid w:val="00B623A7"/>
    <w:rsid w:val="00B62DFB"/>
    <w:rsid w:val="00B63354"/>
    <w:rsid w:val="00B64257"/>
    <w:rsid w:val="00B6446C"/>
    <w:rsid w:val="00B64689"/>
    <w:rsid w:val="00B64A1D"/>
    <w:rsid w:val="00B65D1E"/>
    <w:rsid w:val="00B66C26"/>
    <w:rsid w:val="00B66EA5"/>
    <w:rsid w:val="00B676E8"/>
    <w:rsid w:val="00B67A4B"/>
    <w:rsid w:val="00B7131D"/>
    <w:rsid w:val="00B72637"/>
    <w:rsid w:val="00B73104"/>
    <w:rsid w:val="00B7372A"/>
    <w:rsid w:val="00B744C2"/>
    <w:rsid w:val="00B74763"/>
    <w:rsid w:val="00B7479B"/>
    <w:rsid w:val="00B74A72"/>
    <w:rsid w:val="00B75989"/>
    <w:rsid w:val="00B75C11"/>
    <w:rsid w:val="00B75C82"/>
    <w:rsid w:val="00B801D9"/>
    <w:rsid w:val="00B805F1"/>
    <w:rsid w:val="00B80A32"/>
    <w:rsid w:val="00B80D10"/>
    <w:rsid w:val="00B8188E"/>
    <w:rsid w:val="00B82E10"/>
    <w:rsid w:val="00B8305D"/>
    <w:rsid w:val="00B83E2E"/>
    <w:rsid w:val="00B847B6"/>
    <w:rsid w:val="00B84D28"/>
    <w:rsid w:val="00B850DC"/>
    <w:rsid w:val="00B85145"/>
    <w:rsid w:val="00B857EF"/>
    <w:rsid w:val="00B876C8"/>
    <w:rsid w:val="00B8786B"/>
    <w:rsid w:val="00B904BF"/>
    <w:rsid w:val="00B90F38"/>
    <w:rsid w:val="00B91932"/>
    <w:rsid w:val="00B9262C"/>
    <w:rsid w:val="00B929C1"/>
    <w:rsid w:val="00B92C10"/>
    <w:rsid w:val="00B92FAC"/>
    <w:rsid w:val="00B937E4"/>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9A4"/>
    <w:rsid w:val="00BA1A62"/>
    <w:rsid w:val="00BA1C26"/>
    <w:rsid w:val="00BA2092"/>
    <w:rsid w:val="00BA20ED"/>
    <w:rsid w:val="00BA237C"/>
    <w:rsid w:val="00BA258E"/>
    <w:rsid w:val="00BA2E6F"/>
    <w:rsid w:val="00BA35CD"/>
    <w:rsid w:val="00BA6441"/>
    <w:rsid w:val="00BA680B"/>
    <w:rsid w:val="00BA692C"/>
    <w:rsid w:val="00BA702A"/>
    <w:rsid w:val="00BA7544"/>
    <w:rsid w:val="00BA7584"/>
    <w:rsid w:val="00BA7633"/>
    <w:rsid w:val="00BA7699"/>
    <w:rsid w:val="00BA78F9"/>
    <w:rsid w:val="00BA7CF8"/>
    <w:rsid w:val="00BB06BD"/>
    <w:rsid w:val="00BB0F52"/>
    <w:rsid w:val="00BB0FC4"/>
    <w:rsid w:val="00BB16DD"/>
    <w:rsid w:val="00BB1ECC"/>
    <w:rsid w:val="00BB21DE"/>
    <w:rsid w:val="00BB2642"/>
    <w:rsid w:val="00BB2842"/>
    <w:rsid w:val="00BB2B80"/>
    <w:rsid w:val="00BB315F"/>
    <w:rsid w:val="00BB3D35"/>
    <w:rsid w:val="00BB42FB"/>
    <w:rsid w:val="00BB4398"/>
    <w:rsid w:val="00BB44EB"/>
    <w:rsid w:val="00BB46A1"/>
    <w:rsid w:val="00BB4F88"/>
    <w:rsid w:val="00BC0A0F"/>
    <w:rsid w:val="00BC0D77"/>
    <w:rsid w:val="00BC0F2F"/>
    <w:rsid w:val="00BC1C01"/>
    <w:rsid w:val="00BC2042"/>
    <w:rsid w:val="00BC27FF"/>
    <w:rsid w:val="00BC30A3"/>
    <w:rsid w:val="00BC38FF"/>
    <w:rsid w:val="00BC3D9B"/>
    <w:rsid w:val="00BC3E41"/>
    <w:rsid w:val="00BC4280"/>
    <w:rsid w:val="00BC4315"/>
    <w:rsid w:val="00BC437B"/>
    <w:rsid w:val="00BC52E5"/>
    <w:rsid w:val="00BC7947"/>
    <w:rsid w:val="00BD1086"/>
    <w:rsid w:val="00BD2054"/>
    <w:rsid w:val="00BD2C95"/>
    <w:rsid w:val="00BD2F04"/>
    <w:rsid w:val="00BD344D"/>
    <w:rsid w:val="00BD3676"/>
    <w:rsid w:val="00BD3A99"/>
    <w:rsid w:val="00BD4025"/>
    <w:rsid w:val="00BD404B"/>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F"/>
    <w:rsid w:val="00BE313C"/>
    <w:rsid w:val="00BE3640"/>
    <w:rsid w:val="00BE475C"/>
    <w:rsid w:val="00BE4952"/>
    <w:rsid w:val="00BE4C60"/>
    <w:rsid w:val="00BE4E45"/>
    <w:rsid w:val="00BE52D0"/>
    <w:rsid w:val="00BE70FF"/>
    <w:rsid w:val="00BE72CD"/>
    <w:rsid w:val="00BF00A6"/>
    <w:rsid w:val="00BF02E3"/>
    <w:rsid w:val="00BF03F3"/>
    <w:rsid w:val="00BF03FB"/>
    <w:rsid w:val="00BF0724"/>
    <w:rsid w:val="00BF4A31"/>
    <w:rsid w:val="00BF4BEB"/>
    <w:rsid w:val="00BF4F0B"/>
    <w:rsid w:val="00BF553C"/>
    <w:rsid w:val="00BF5B02"/>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2C6"/>
    <w:rsid w:val="00C05A4E"/>
    <w:rsid w:val="00C05D40"/>
    <w:rsid w:val="00C069B9"/>
    <w:rsid w:val="00C06F95"/>
    <w:rsid w:val="00C07D45"/>
    <w:rsid w:val="00C10238"/>
    <w:rsid w:val="00C11236"/>
    <w:rsid w:val="00C11261"/>
    <w:rsid w:val="00C1178F"/>
    <w:rsid w:val="00C13691"/>
    <w:rsid w:val="00C13DEB"/>
    <w:rsid w:val="00C13F46"/>
    <w:rsid w:val="00C145F8"/>
    <w:rsid w:val="00C14CFD"/>
    <w:rsid w:val="00C14F60"/>
    <w:rsid w:val="00C15914"/>
    <w:rsid w:val="00C16321"/>
    <w:rsid w:val="00C17241"/>
    <w:rsid w:val="00C17338"/>
    <w:rsid w:val="00C174A5"/>
    <w:rsid w:val="00C17C52"/>
    <w:rsid w:val="00C20E64"/>
    <w:rsid w:val="00C21716"/>
    <w:rsid w:val="00C21CF4"/>
    <w:rsid w:val="00C221A3"/>
    <w:rsid w:val="00C222C7"/>
    <w:rsid w:val="00C22592"/>
    <w:rsid w:val="00C22612"/>
    <w:rsid w:val="00C22C2E"/>
    <w:rsid w:val="00C23092"/>
    <w:rsid w:val="00C230A0"/>
    <w:rsid w:val="00C232CF"/>
    <w:rsid w:val="00C23A61"/>
    <w:rsid w:val="00C24DA7"/>
    <w:rsid w:val="00C25DCF"/>
    <w:rsid w:val="00C25FD2"/>
    <w:rsid w:val="00C25FD8"/>
    <w:rsid w:val="00C27307"/>
    <w:rsid w:val="00C3001C"/>
    <w:rsid w:val="00C307DE"/>
    <w:rsid w:val="00C3085D"/>
    <w:rsid w:val="00C31703"/>
    <w:rsid w:val="00C31CD0"/>
    <w:rsid w:val="00C31FAA"/>
    <w:rsid w:val="00C3275C"/>
    <w:rsid w:val="00C327ED"/>
    <w:rsid w:val="00C33173"/>
    <w:rsid w:val="00C33789"/>
    <w:rsid w:val="00C33E42"/>
    <w:rsid w:val="00C348A1"/>
    <w:rsid w:val="00C34A10"/>
    <w:rsid w:val="00C36238"/>
    <w:rsid w:val="00C37275"/>
    <w:rsid w:val="00C37AAF"/>
    <w:rsid w:val="00C37BCF"/>
    <w:rsid w:val="00C402CD"/>
    <w:rsid w:val="00C40B9A"/>
    <w:rsid w:val="00C40C61"/>
    <w:rsid w:val="00C40DF1"/>
    <w:rsid w:val="00C40DFA"/>
    <w:rsid w:val="00C40E6A"/>
    <w:rsid w:val="00C411FF"/>
    <w:rsid w:val="00C41EFF"/>
    <w:rsid w:val="00C42804"/>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47C79"/>
    <w:rsid w:val="00C51268"/>
    <w:rsid w:val="00C524D7"/>
    <w:rsid w:val="00C534C6"/>
    <w:rsid w:val="00C53B3A"/>
    <w:rsid w:val="00C53BEC"/>
    <w:rsid w:val="00C53E3C"/>
    <w:rsid w:val="00C540B4"/>
    <w:rsid w:val="00C542C5"/>
    <w:rsid w:val="00C5432F"/>
    <w:rsid w:val="00C549EF"/>
    <w:rsid w:val="00C54C01"/>
    <w:rsid w:val="00C551B3"/>
    <w:rsid w:val="00C555EF"/>
    <w:rsid w:val="00C55970"/>
    <w:rsid w:val="00C56639"/>
    <w:rsid w:val="00C56F7A"/>
    <w:rsid w:val="00C57DBF"/>
    <w:rsid w:val="00C601B0"/>
    <w:rsid w:val="00C603B0"/>
    <w:rsid w:val="00C60759"/>
    <w:rsid w:val="00C61008"/>
    <w:rsid w:val="00C6118D"/>
    <w:rsid w:val="00C620B4"/>
    <w:rsid w:val="00C62A18"/>
    <w:rsid w:val="00C62C8B"/>
    <w:rsid w:val="00C63886"/>
    <w:rsid w:val="00C639BF"/>
    <w:rsid w:val="00C63A59"/>
    <w:rsid w:val="00C651BC"/>
    <w:rsid w:val="00C652F1"/>
    <w:rsid w:val="00C661B6"/>
    <w:rsid w:val="00C662AC"/>
    <w:rsid w:val="00C66338"/>
    <w:rsid w:val="00C663D9"/>
    <w:rsid w:val="00C6696F"/>
    <w:rsid w:val="00C66E13"/>
    <w:rsid w:val="00C66F58"/>
    <w:rsid w:val="00C6728B"/>
    <w:rsid w:val="00C675CE"/>
    <w:rsid w:val="00C678BB"/>
    <w:rsid w:val="00C67FD4"/>
    <w:rsid w:val="00C70013"/>
    <w:rsid w:val="00C70A2C"/>
    <w:rsid w:val="00C70ED6"/>
    <w:rsid w:val="00C7113D"/>
    <w:rsid w:val="00C715A9"/>
    <w:rsid w:val="00C71AAB"/>
    <w:rsid w:val="00C727C1"/>
    <w:rsid w:val="00C72EC9"/>
    <w:rsid w:val="00C734AE"/>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2183"/>
    <w:rsid w:val="00C82376"/>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6302"/>
    <w:rsid w:val="00C969B1"/>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A4C"/>
    <w:rsid w:val="00CA4F03"/>
    <w:rsid w:val="00CA60F0"/>
    <w:rsid w:val="00CA6ED6"/>
    <w:rsid w:val="00CA708F"/>
    <w:rsid w:val="00CA7AC7"/>
    <w:rsid w:val="00CA7AD3"/>
    <w:rsid w:val="00CB0525"/>
    <w:rsid w:val="00CB12AE"/>
    <w:rsid w:val="00CB1570"/>
    <w:rsid w:val="00CB20C3"/>
    <w:rsid w:val="00CB21E2"/>
    <w:rsid w:val="00CB2DB9"/>
    <w:rsid w:val="00CB2F76"/>
    <w:rsid w:val="00CB3431"/>
    <w:rsid w:val="00CB4C0D"/>
    <w:rsid w:val="00CB5329"/>
    <w:rsid w:val="00CB53EA"/>
    <w:rsid w:val="00CB648F"/>
    <w:rsid w:val="00CB6B09"/>
    <w:rsid w:val="00CB6FFF"/>
    <w:rsid w:val="00CB7044"/>
    <w:rsid w:val="00CB7729"/>
    <w:rsid w:val="00CB79F8"/>
    <w:rsid w:val="00CB7C94"/>
    <w:rsid w:val="00CB7D50"/>
    <w:rsid w:val="00CC010B"/>
    <w:rsid w:val="00CC0C7C"/>
    <w:rsid w:val="00CC147B"/>
    <w:rsid w:val="00CC26AF"/>
    <w:rsid w:val="00CC2A51"/>
    <w:rsid w:val="00CC3393"/>
    <w:rsid w:val="00CC36F8"/>
    <w:rsid w:val="00CC388F"/>
    <w:rsid w:val="00CC38D7"/>
    <w:rsid w:val="00CC3E67"/>
    <w:rsid w:val="00CC4C8B"/>
    <w:rsid w:val="00CC5261"/>
    <w:rsid w:val="00CC54E1"/>
    <w:rsid w:val="00CC58DF"/>
    <w:rsid w:val="00CC5A6D"/>
    <w:rsid w:val="00CC64C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D54"/>
    <w:rsid w:val="00CE24E5"/>
    <w:rsid w:val="00CE263E"/>
    <w:rsid w:val="00CE40F3"/>
    <w:rsid w:val="00CE41BF"/>
    <w:rsid w:val="00CE43CA"/>
    <w:rsid w:val="00CE49B2"/>
    <w:rsid w:val="00CE537F"/>
    <w:rsid w:val="00CE5558"/>
    <w:rsid w:val="00CE5922"/>
    <w:rsid w:val="00CE5982"/>
    <w:rsid w:val="00CE5B71"/>
    <w:rsid w:val="00CE5BB9"/>
    <w:rsid w:val="00CE6603"/>
    <w:rsid w:val="00CE6FC2"/>
    <w:rsid w:val="00CE7873"/>
    <w:rsid w:val="00CE7C6F"/>
    <w:rsid w:val="00CF0699"/>
    <w:rsid w:val="00CF0ED0"/>
    <w:rsid w:val="00CF12F8"/>
    <w:rsid w:val="00CF1850"/>
    <w:rsid w:val="00CF2467"/>
    <w:rsid w:val="00CF2518"/>
    <w:rsid w:val="00CF2B0E"/>
    <w:rsid w:val="00CF2C98"/>
    <w:rsid w:val="00CF3DDA"/>
    <w:rsid w:val="00CF435D"/>
    <w:rsid w:val="00CF4AC5"/>
    <w:rsid w:val="00CF4E71"/>
    <w:rsid w:val="00CF5CC7"/>
    <w:rsid w:val="00CF5D14"/>
    <w:rsid w:val="00CF5E2C"/>
    <w:rsid w:val="00CF65C9"/>
    <w:rsid w:val="00CF6B69"/>
    <w:rsid w:val="00CF7BBF"/>
    <w:rsid w:val="00CF7C53"/>
    <w:rsid w:val="00CF7E94"/>
    <w:rsid w:val="00D004C7"/>
    <w:rsid w:val="00D00D2A"/>
    <w:rsid w:val="00D018E6"/>
    <w:rsid w:val="00D01FC4"/>
    <w:rsid w:val="00D024BB"/>
    <w:rsid w:val="00D03BA0"/>
    <w:rsid w:val="00D04315"/>
    <w:rsid w:val="00D04985"/>
    <w:rsid w:val="00D049DE"/>
    <w:rsid w:val="00D04D4D"/>
    <w:rsid w:val="00D04DC8"/>
    <w:rsid w:val="00D04FC9"/>
    <w:rsid w:val="00D0530D"/>
    <w:rsid w:val="00D06935"/>
    <w:rsid w:val="00D07308"/>
    <w:rsid w:val="00D07472"/>
    <w:rsid w:val="00D074D2"/>
    <w:rsid w:val="00D07CEA"/>
    <w:rsid w:val="00D100D8"/>
    <w:rsid w:val="00D10262"/>
    <w:rsid w:val="00D10C8C"/>
    <w:rsid w:val="00D10D21"/>
    <w:rsid w:val="00D11B4A"/>
    <w:rsid w:val="00D12044"/>
    <w:rsid w:val="00D12132"/>
    <w:rsid w:val="00D12A46"/>
    <w:rsid w:val="00D12A78"/>
    <w:rsid w:val="00D13B74"/>
    <w:rsid w:val="00D13FE1"/>
    <w:rsid w:val="00D141B0"/>
    <w:rsid w:val="00D14A0C"/>
    <w:rsid w:val="00D15152"/>
    <w:rsid w:val="00D158B6"/>
    <w:rsid w:val="00D15FA3"/>
    <w:rsid w:val="00D16382"/>
    <w:rsid w:val="00D175BD"/>
    <w:rsid w:val="00D17767"/>
    <w:rsid w:val="00D17BEC"/>
    <w:rsid w:val="00D202A9"/>
    <w:rsid w:val="00D20485"/>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B31"/>
    <w:rsid w:val="00D31ED9"/>
    <w:rsid w:val="00D325C8"/>
    <w:rsid w:val="00D32BAB"/>
    <w:rsid w:val="00D32BCF"/>
    <w:rsid w:val="00D34004"/>
    <w:rsid w:val="00D349E8"/>
    <w:rsid w:val="00D34B33"/>
    <w:rsid w:val="00D34BFB"/>
    <w:rsid w:val="00D351A8"/>
    <w:rsid w:val="00D35AF9"/>
    <w:rsid w:val="00D36991"/>
    <w:rsid w:val="00D36A5B"/>
    <w:rsid w:val="00D37E89"/>
    <w:rsid w:val="00D40665"/>
    <w:rsid w:val="00D41128"/>
    <w:rsid w:val="00D41327"/>
    <w:rsid w:val="00D41E57"/>
    <w:rsid w:val="00D428CD"/>
    <w:rsid w:val="00D43F7E"/>
    <w:rsid w:val="00D448E4"/>
    <w:rsid w:val="00D453BD"/>
    <w:rsid w:val="00D455B7"/>
    <w:rsid w:val="00D45AC3"/>
    <w:rsid w:val="00D47A9B"/>
    <w:rsid w:val="00D50AC9"/>
    <w:rsid w:val="00D516BE"/>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5EC3"/>
    <w:rsid w:val="00D67D2C"/>
    <w:rsid w:val="00D67EAE"/>
    <w:rsid w:val="00D67FEE"/>
    <w:rsid w:val="00D70030"/>
    <w:rsid w:val="00D702C7"/>
    <w:rsid w:val="00D703C2"/>
    <w:rsid w:val="00D711BE"/>
    <w:rsid w:val="00D714B2"/>
    <w:rsid w:val="00D7186E"/>
    <w:rsid w:val="00D718FF"/>
    <w:rsid w:val="00D71DD9"/>
    <w:rsid w:val="00D726CA"/>
    <w:rsid w:val="00D72AD8"/>
    <w:rsid w:val="00D732A9"/>
    <w:rsid w:val="00D73D84"/>
    <w:rsid w:val="00D7465E"/>
    <w:rsid w:val="00D75601"/>
    <w:rsid w:val="00D75F42"/>
    <w:rsid w:val="00D76028"/>
    <w:rsid w:val="00D771FA"/>
    <w:rsid w:val="00D77E33"/>
    <w:rsid w:val="00D80389"/>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EAD"/>
    <w:rsid w:val="00D95F2F"/>
    <w:rsid w:val="00D966A7"/>
    <w:rsid w:val="00D97529"/>
    <w:rsid w:val="00D976F8"/>
    <w:rsid w:val="00D97744"/>
    <w:rsid w:val="00D97996"/>
    <w:rsid w:val="00D97D1C"/>
    <w:rsid w:val="00DA1C94"/>
    <w:rsid w:val="00DA1CD8"/>
    <w:rsid w:val="00DA1D07"/>
    <w:rsid w:val="00DA1F52"/>
    <w:rsid w:val="00DA4065"/>
    <w:rsid w:val="00DA4835"/>
    <w:rsid w:val="00DA4CA3"/>
    <w:rsid w:val="00DA58AE"/>
    <w:rsid w:val="00DA6061"/>
    <w:rsid w:val="00DA607C"/>
    <w:rsid w:val="00DA60BF"/>
    <w:rsid w:val="00DA6F0A"/>
    <w:rsid w:val="00DA7920"/>
    <w:rsid w:val="00DA7972"/>
    <w:rsid w:val="00DA7B05"/>
    <w:rsid w:val="00DB0323"/>
    <w:rsid w:val="00DB04B9"/>
    <w:rsid w:val="00DB0A84"/>
    <w:rsid w:val="00DB2926"/>
    <w:rsid w:val="00DB2AD0"/>
    <w:rsid w:val="00DB2D40"/>
    <w:rsid w:val="00DB3196"/>
    <w:rsid w:val="00DB3308"/>
    <w:rsid w:val="00DB3AA1"/>
    <w:rsid w:val="00DB4263"/>
    <w:rsid w:val="00DB47A0"/>
    <w:rsid w:val="00DB4ADF"/>
    <w:rsid w:val="00DB55D9"/>
    <w:rsid w:val="00DB5958"/>
    <w:rsid w:val="00DB598F"/>
    <w:rsid w:val="00DB5C12"/>
    <w:rsid w:val="00DB5CB9"/>
    <w:rsid w:val="00DB5E91"/>
    <w:rsid w:val="00DB6162"/>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30E2"/>
    <w:rsid w:val="00DC3233"/>
    <w:rsid w:val="00DC48CD"/>
    <w:rsid w:val="00DC4B07"/>
    <w:rsid w:val="00DC5472"/>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931"/>
    <w:rsid w:val="00DE1410"/>
    <w:rsid w:val="00DE1AF6"/>
    <w:rsid w:val="00DE214B"/>
    <w:rsid w:val="00DE21C5"/>
    <w:rsid w:val="00DE2B4A"/>
    <w:rsid w:val="00DE2BC6"/>
    <w:rsid w:val="00DE3AD4"/>
    <w:rsid w:val="00DE436D"/>
    <w:rsid w:val="00DE4D50"/>
    <w:rsid w:val="00DE5120"/>
    <w:rsid w:val="00DE5EE3"/>
    <w:rsid w:val="00DE68CD"/>
    <w:rsid w:val="00DE694A"/>
    <w:rsid w:val="00DE699E"/>
    <w:rsid w:val="00DE6BAF"/>
    <w:rsid w:val="00DF02E9"/>
    <w:rsid w:val="00DF0A6E"/>
    <w:rsid w:val="00DF1438"/>
    <w:rsid w:val="00DF17FB"/>
    <w:rsid w:val="00DF1D19"/>
    <w:rsid w:val="00DF231F"/>
    <w:rsid w:val="00DF2716"/>
    <w:rsid w:val="00DF2CA4"/>
    <w:rsid w:val="00DF40D6"/>
    <w:rsid w:val="00DF412D"/>
    <w:rsid w:val="00DF4414"/>
    <w:rsid w:val="00DF44D6"/>
    <w:rsid w:val="00DF46F7"/>
    <w:rsid w:val="00DF4C28"/>
    <w:rsid w:val="00DF4FED"/>
    <w:rsid w:val="00DF5006"/>
    <w:rsid w:val="00DF54B6"/>
    <w:rsid w:val="00DF5EF5"/>
    <w:rsid w:val="00DF677B"/>
    <w:rsid w:val="00DF7A08"/>
    <w:rsid w:val="00E011EB"/>
    <w:rsid w:val="00E017EB"/>
    <w:rsid w:val="00E01C9A"/>
    <w:rsid w:val="00E01D0D"/>
    <w:rsid w:val="00E02C0E"/>
    <w:rsid w:val="00E03F33"/>
    <w:rsid w:val="00E043E5"/>
    <w:rsid w:val="00E04DED"/>
    <w:rsid w:val="00E04FBF"/>
    <w:rsid w:val="00E05CE4"/>
    <w:rsid w:val="00E060DF"/>
    <w:rsid w:val="00E063F9"/>
    <w:rsid w:val="00E06ADD"/>
    <w:rsid w:val="00E075DC"/>
    <w:rsid w:val="00E07E8A"/>
    <w:rsid w:val="00E07FDF"/>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C8"/>
    <w:rsid w:val="00E1529B"/>
    <w:rsid w:val="00E155CE"/>
    <w:rsid w:val="00E16255"/>
    <w:rsid w:val="00E1638D"/>
    <w:rsid w:val="00E16C97"/>
    <w:rsid w:val="00E16F8D"/>
    <w:rsid w:val="00E174F6"/>
    <w:rsid w:val="00E17A87"/>
    <w:rsid w:val="00E17C67"/>
    <w:rsid w:val="00E20690"/>
    <w:rsid w:val="00E20CFE"/>
    <w:rsid w:val="00E212FF"/>
    <w:rsid w:val="00E21374"/>
    <w:rsid w:val="00E2194E"/>
    <w:rsid w:val="00E23051"/>
    <w:rsid w:val="00E2319F"/>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30540"/>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1FF"/>
    <w:rsid w:val="00E375F5"/>
    <w:rsid w:val="00E376E0"/>
    <w:rsid w:val="00E40C23"/>
    <w:rsid w:val="00E40CC1"/>
    <w:rsid w:val="00E417B9"/>
    <w:rsid w:val="00E41979"/>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ED2"/>
    <w:rsid w:val="00E6107E"/>
    <w:rsid w:val="00E612CA"/>
    <w:rsid w:val="00E61C85"/>
    <w:rsid w:val="00E61FA7"/>
    <w:rsid w:val="00E620DC"/>
    <w:rsid w:val="00E6244A"/>
    <w:rsid w:val="00E628E6"/>
    <w:rsid w:val="00E62E49"/>
    <w:rsid w:val="00E64ECD"/>
    <w:rsid w:val="00E64FDC"/>
    <w:rsid w:val="00E659A5"/>
    <w:rsid w:val="00E66221"/>
    <w:rsid w:val="00E67319"/>
    <w:rsid w:val="00E67408"/>
    <w:rsid w:val="00E675B0"/>
    <w:rsid w:val="00E675D3"/>
    <w:rsid w:val="00E67B8E"/>
    <w:rsid w:val="00E67E77"/>
    <w:rsid w:val="00E706A7"/>
    <w:rsid w:val="00E71152"/>
    <w:rsid w:val="00E71278"/>
    <w:rsid w:val="00E7187F"/>
    <w:rsid w:val="00E7197C"/>
    <w:rsid w:val="00E719DC"/>
    <w:rsid w:val="00E722A3"/>
    <w:rsid w:val="00E72E93"/>
    <w:rsid w:val="00E73560"/>
    <w:rsid w:val="00E736ED"/>
    <w:rsid w:val="00E73F93"/>
    <w:rsid w:val="00E74ADD"/>
    <w:rsid w:val="00E74D34"/>
    <w:rsid w:val="00E752CA"/>
    <w:rsid w:val="00E75D61"/>
    <w:rsid w:val="00E75FB8"/>
    <w:rsid w:val="00E776BA"/>
    <w:rsid w:val="00E778A4"/>
    <w:rsid w:val="00E77AD4"/>
    <w:rsid w:val="00E8093F"/>
    <w:rsid w:val="00E80BBF"/>
    <w:rsid w:val="00E80BE7"/>
    <w:rsid w:val="00E80DFE"/>
    <w:rsid w:val="00E81793"/>
    <w:rsid w:val="00E82047"/>
    <w:rsid w:val="00E820B3"/>
    <w:rsid w:val="00E8256E"/>
    <w:rsid w:val="00E826A9"/>
    <w:rsid w:val="00E82767"/>
    <w:rsid w:val="00E83F7B"/>
    <w:rsid w:val="00E8480B"/>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724"/>
    <w:rsid w:val="00E90DF5"/>
    <w:rsid w:val="00E917A3"/>
    <w:rsid w:val="00E92C83"/>
    <w:rsid w:val="00E93120"/>
    <w:rsid w:val="00E9393B"/>
    <w:rsid w:val="00E93AA8"/>
    <w:rsid w:val="00E943CF"/>
    <w:rsid w:val="00E94637"/>
    <w:rsid w:val="00E94FB8"/>
    <w:rsid w:val="00E95B1B"/>
    <w:rsid w:val="00E969F4"/>
    <w:rsid w:val="00E973B0"/>
    <w:rsid w:val="00E97825"/>
    <w:rsid w:val="00E97E85"/>
    <w:rsid w:val="00EA061C"/>
    <w:rsid w:val="00EA081E"/>
    <w:rsid w:val="00EA102B"/>
    <w:rsid w:val="00EA1428"/>
    <w:rsid w:val="00EA1C18"/>
    <w:rsid w:val="00EA1EE0"/>
    <w:rsid w:val="00EA2B9B"/>
    <w:rsid w:val="00EA353F"/>
    <w:rsid w:val="00EA390C"/>
    <w:rsid w:val="00EA3E82"/>
    <w:rsid w:val="00EA3F98"/>
    <w:rsid w:val="00EA460C"/>
    <w:rsid w:val="00EA582A"/>
    <w:rsid w:val="00EA5A72"/>
    <w:rsid w:val="00EA6049"/>
    <w:rsid w:val="00EA65B5"/>
    <w:rsid w:val="00EA786D"/>
    <w:rsid w:val="00EA791C"/>
    <w:rsid w:val="00EA7C80"/>
    <w:rsid w:val="00EA7F0F"/>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616F"/>
    <w:rsid w:val="00EB65EE"/>
    <w:rsid w:val="00EB723F"/>
    <w:rsid w:val="00EB7367"/>
    <w:rsid w:val="00EB74CA"/>
    <w:rsid w:val="00EB79CC"/>
    <w:rsid w:val="00EC0525"/>
    <w:rsid w:val="00EC0878"/>
    <w:rsid w:val="00EC0B93"/>
    <w:rsid w:val="00EC0EE6"/>
    <w:rsid w:val="00EC13FB"/>
    <w:rsid w:val="00EC17C8"/>
    <w:rsid w:val="00EC1AE4"/>
    <w:rsid w:val="00EC1D7D"/>
    <w:rsid w:val="00EC2DC0"/>
    <w:rsid w:val="00EC311A"/>
    <w:rsid w:val="00EC4125"/>
    <w:rsid w:val="00EC4147"/>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70F2"/>
    <w:rsid w:val="00ED72DE"/>
    <w:rsid w:val="00ED737B"/>
    <w:rsid w:val="00ED761E"/>
    <w:rsid w:val="00EE08D1"/>
    <w:rsid w:val="00EE08D5"/>
    <w:rsid w:val="00EE0D8D"/>
    <w:rsid w:val="00EE1595"/>
    <w:rsid w:val="00EE203B"/>
    <w:rsid w:val="00EE22DC"/>
    <w:rsid w:val="00EE2C40"/>
    <w:rsid w:val="00EE3617"/>
    <w:rsid w:val="00EE3662"/>
    <w:rsid w:val="00EE3B1C"/>
    <w:rsid w:val="00EE4AC5"/>
    <w:rsid w:val="00EE4D13"/>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285"/>
    <w:rsid w:val="00F16732"/>
    <w:rsid w:val="00F17609"/>
    <w:rsid w:val="00F17679"/>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6797"/>
    <w:rsid w:val="00F36CC2"/>
    <w:rsid w:val="00F372A4"/>
    <w:rsid w:val="00F3797F"/>
    <w:rsid w:val="00F37BC6"/>
    <w:rsid w:val="00F402D7"/>
    <w:rsid w:val="00F42484"/>
    <w:rsid w:val="00F431D1"/>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741"/>
    <w:rsid w:val="00F47E80"/>
    <w:rsid w:val="00F50692"/>
    <w:rsid w:val="00F508A0"/>
    <w:rsid w:val="00F5101E"/>
    <w:rsid w:val="00F514FF"/>
    <w:rsid w:val="00F5168E"/>
    <w:rsid w:val="00F517D1"/>
    <w:rsid w:val="00F51CDF"/>
    <w:rsid w:val="00F51CFD"/>
    <w:rsid w:val="00F5246E"/>
    <w:rsid w:val="00F52493"/>
    <w:rsid w:val="00F5438F"/>
    <w:rsid w:val="00F547C7"/>
    <w:rsid w:val="00F54823"/>
    <w:rsid w:val="00F54890"/>
    <w:rsid w:val="00F54D1C"/>
    <w:rsid w:val="00F550FE"/>
    <w:rsid w:val="00F551A9"/>
    <w:rsid w:val="00F55B82"/>
    <w:rsid w:val="00F56262"/>
    <w:rsid w:val="00F5647C"/>
    <w:rsid w:val="00F56C2A"/>
    <w:rsid w:val="00F56D70"/>
    <w:rsid w:val="00F57986"/>
    <w:rsid w:val="00F57B2A"/>
    <w:rsid w:val="00F600E7"/>
    <w:rsid w:val="00F61053"/>
    <w:rsid w:val="00F6166A"/>
    <w:rsid w:val="00F635BE"/>
    <w:rsid w:val="00F63759"/>
    <w:rsid w:val="00F63F4D"/>
    <w:rsid w:val="00F645C8"/>
    <w:rsid w:val="00F64C60"/>
    <w:rsid w:val="00F65100"/>
    <w:rsid w:val="00F65E93"/>
    <w:rsid w:val="00F676A8"/>
    <w:rsid w:val="00F67977"/>
    <w:rsid w:val="00F67CB2"/>
    <w:rsid w:val="00F67ECF"/>
    <w:rsid w:val="00F70D31"/>
    <w:rsid w:val="00F70E65"/>
    <w:rsid w:val="00F70F20"/>
    <w:rsid w:val="00F71756"/>
    <w:rsid w:val="00F7181D"/>
    <w:rsid w:val="00F718D8"/>
    <w:rsid w:val="00F7194A"/>
    <w:rsid w:val="00F71EF3"/>
    <w:rsid w:val="00F72BEF"/>
    <w:rsid w:val="00F73168"/>
    <w:rsid w:val="00F73A36"/>
    <w:rsid w:val="00F73D0C"/>
    <w:rsid w:val="00F73DF8"/>
    <w:rsid w:val="00F73E27"/>
    <w:rsid w:val="00F74928"/>
    <w:rsid w:val="00F74C9C"/>
    <w:rsid w:val="00F74E69"/>
    <w:rsid w:val="00F750DA"/>
    <w:rsid w:val="00F75B45"/>
    <w:rsid w:val="00F76237"/>
    <w:rsid w:val="00F76433"/>
    <w:rsid w:val="00F76D1F"/>
    <w:rsid w:val="00F76FE4"/>
    <w:rsid w:val="00F77D4B"/>
    <w:rsid w:val="00F77F0D"/>
    <w:rsid w:val="00F80A5C"/>
    <w:rsid w:val="00F8164D"/>
    <w:rsid w:val="00F81D9D"/>
    <w:rsid w:val="00F82A04"/>
    <w:rsid w:val="00F82B52"/>
    <w:rsid w:val="00F82B74"/>
    <w:rsid w:val="00F82B90"/>
    <w:rsid w:val="00F843D0"/>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A43"/>
    <w:rsid w:val="00FA1E64"/>
    <w:rsid w:val="00FA2937"/>
    <w:rsid w:val="00FA2CB8"/>
    <w:rsid w:val="00FA3102"/>
    <w:rsid w:val="00FA378B"/>
    <w:rsid w:val="00FA37AD"/>
    <w:rsid w:val="00FA3A19"/>
    <w:rsid w:val="00FA3A2A"/>
    <w:rsid w:val="00FA3CC1"/>
    <w:rsid w:val="00FA3EFB"/>
    <w:rsid w:val="00FA4553"/>
    <w:rsid w:val="00FA4568"/>
    <w:rsid w:val="00FA4DE5"/>
    <w:rsid w:val="00FA5422"/>
    <w:rsid w:val="00FA5C4A"/>
    <w:rsid w:val="00FA63DB"/>
    <w:rsid w:val="00FA7A60"/>
    <w:rsid w:val="00FB03B5"/>
    <w:rsid w:val="00FB03B6"/>
    <w:rsid w:val="00FB05A9"/>
    <w:rsid w:val="00FB1D0C"/>
    <w:rsid w:val="00FB234F"/>
    <w:rsid w:val="00FB249A"/>
    <w:rsid w:val="00FB2545"/>
    <w:rsid w:val="00FB26E0"/>
    <w:rsid w:val="00FB2920"/>
    <w:rsid w:val="00FB41AB"/>
    <w:rsid w:val="00FB43A8"/>
    <w:rsid w:val="00FB47D6"/>
    <w:rsid w:val="00FB48C3"/>
    <w:rsid w:val="00FB69D3"/>
    <w:rsid w:val="00FB6CC4"/>
    <w:rsid w:val="00FB794C"/>
    <w:rsid w:val="00FB7D10"/>
    <w:rsid w:val="00FC03D3"/>
    <w:rsid w:val="00FC11B3"/>
    <w:rsid w:val="00FC1BC5"/>
    <w:rsid w:val="00FC2A78"/>
    <w:rsid w:val="00FC2EF5"/>
    <w:rsid w:val="00FC32E8"/>
    <w:rsid w:val="00FC3C3D"/>
    <w:rsid w:val="00FC3D29"/>
    <w:rsid w:val="00FC4B33"/>
    <w:rsid w:val="00FC4D50"/>
    <w:rsid w:val="00FC648D"/>
    <w:rsid w:val="00FC737A"/>
    <w:rsid w:val="00FC73E3"/>
    <w:rsid w:val="00FC7A28"/>
    <w:rsid w:val="00FC7B22"/>
    <w:rsid w:val="00FD0416"/>
    <w:rsid w:val="00FD0650"/>
    <w:rsid w:val="00FD0B50"/>
    <w:rsid w:val="00FD0DE5"/>
    <w:rsid w:val="00FD0F6F"/>
    <w:rsid w:val="00FD14CE"/>
    <w:rsid w:val="00FD15B2"/>
    <w:rsid w:val="00FD190E"/>
    <w:rsid w:val="00FD290E"/>
    <w:rsid w:val="00FD2998"/>
    <w:rsid w:val="00FD310B"/>
    <w:rsid w:val="00FD36EF"/>
    <w:rsid w:val="00FD377A"/>
    <w:rsid w:val="00FD3911"/>
    <w:rsid w:val="00FD40A5"/>
    <w:rsid w:val="00FD47F1"/>
    <w:rsid w:val="00FD4D00"/>
    <w:rsid w:val="00FD5339"/>
    <w:rsid w:val="00FD540E"/>
    <w:rsid w:val="00FD594B"/>
    <w:rsid w:val="00FD5E1D"/>
    <w:rsid w:val="00FD6079"/>
    <w:rsid w:val="00FD60E2"/>
    <w:rsid w:val="00FD6BC8"/>
    <w:rsid w:val="00FD6EC4"/>
    <w:rsid w:val="00FD7084"/>
    <w:rsid w:val="00FD7D00"/>
    <w:rsid w:val="00FE075B"/>
    <w:rsid w:val="00FE09EA"/>
    <w:rsid w:val="00FE17D4"/>
    <w:rsid w:val="00FE1DBC"/>
    <w:rsid w:val="00FE21DE"/>
    <w:rsid w:val="00FE23FB"/>
    <w:rsid w:val="00FE2619"/>
    <w:rsid w:val="00FE2AA6"/>
    <w:rsid w:val="00FE2B22"/>
    <w:rsid w:val="00FE3A0C"/>
    <w:rsid w:val="00FE3CC8"/>
    <w:rsid w:val="00FE4D1E"/>
    <w:rsid w:val="00FE502F"/>
    <w:rsid w:val="00FE5281"/>
    <w:rsid w:val="00FE52CD"/>
    <w:rsid w:val="00FE52D5"/>
    <w:rsid w:val="00FE5914"/>
    <w:rsid w:val="00FE5BA1"/>
    <w:rsid w:val="00FE64C1"/>
    <w:rsid w:val="00FE67C8"/>
    <w:rsid w:val="00FE6E20"/>
    <w:rsid w:val="00FE6F10"/>
    <w:rsid w:val="00FE763E"/>
    <w:rsid w:val="00FE7DB3"/>
    <w:rsid w:val="00FF052C"/>
    <w:rsid w:val="00FF0DE2"/>
    <w:rsid w:val="00FF1757"/>
    <w:rsid w:val="00FF2491"/>
    <w:rsid w:val="00FF28BC"/>
    <w:rsid w:val="00FF2964"/>
    <w:rsid w:val="00FF2998"/>
    <w:rsid w:val="00FF3BC7"/>
    <w:rsid w:val="00FF4813"/>
    <w:rsid w:val="00FF58F1"/>
    <w:rsid w:val="00FF6A0C"/>
    <w:rsid w:val="00FF6D13"/>
    <w:rsid w:val="00FF6F07"/>
    <w:rsid w:val="00FF776F"/>
    <w:rsid w:val="00FF7A4F"/>
    <w:rsid w:val="00FF7B98"/>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126F44"/>
  <w15:chartTrackingRefBased/>
  <w15:docId w15:val="{696F0B7A-535A-45BF-9EEA-1BA25948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2C6"/>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3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eastAsia="ja-JP"/>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4"/>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5"/>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6"/>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746DC-68EC-4A75-8D9B-52BB0BF00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105E40-0C13-4B2A-8616-A178C19C2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1074</TotalTime>
  <Pages>4</Pages>
  <Words>1558</Words>
  <Characters>8885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Details of RA-based schemes for SDT in NR</vt:lpstr>
    </vt:vector>
  </TitlesOfParts>
  <Company>Alcatel-Lucent</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RACH-based SDT in NR</dc:title>
  <dc:subject/>
  <dc:creator>Sony</dc:creator>
  <cp:keywords/>
  <cp:lastModifiedBy>Yassin</cp:lastModifiedBy>
  <cp:revision>76</cp:revision>
  <cp:lastPrinted>2009-09-27T08:02:00Z</cp:lastPrinted>
  <dcterms:created xsi:type="dcterms:W3CDTF">2021-05-06T01:03:00Z</dcterms:created>
  <dcterms:modified xsi:type="dcterms:W3CDTF">2021-05-10T15:58:00Z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